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7A52" w14:textId="21D4A206" w:rsidR="006D40B2" w:rsidRPr="00AE7BC3" w:rsidRDefault="0047221A" w:rsidP="00492203">
      <w:pPr>
        <w:jc w:val="center"/>
        <w:rPr>
          <w:rFonts w:cs="Times New Roman"/>
          <w:b/>
          <w:szCs w:val="24"/>
          <w:lang w:val="tr-TR"/>
        </w:rPr>
      </w:pPr>
      <w:r w:rsidRPr="00AE7BC3">
        <w:rPr>
          <w:rFonts w:cs="Times New Roman"/>
          <w:b/>
          <w:szCs w:val="24"/>
          <w:lang w:val="tr-TR"/>
        </w:rPr>
        <w:t>BAŞVURU FORMUNA EK AÇIKLAMALAR</w:t>
      </w:r>
    </w:p>
    <w:p w14:paraId="3A5103CB" w14:textId="77777777" w:rsidR="00AE7BC3" w:rsidRPr="00AE7BC3" w:rsidRDefault="00AE7BC3" w:rsidP="00AE7BC3">
      <w:pPr>
        <w:pStyle w:val="Balk2"/>
        <w:rPr>
          <w:rFonts w:cs="Times New Roman"/>
          <w:szCs w:val="24"/>
        </w:rPr>
      </w:pPr>
      <w:r w:rsidRPr="00AE7BC3">
        <w:rPr>
          <w:rFonts w:cs="Times New Roman"/>
          <w:szCs w:val="24"/>
        </w:rPr>
        <w:t>AİHS m.6’nın cezai boyutu, somut olayda uygulanabilir niteliktedir.</w:t>
      </w:r>
    </w:p>
    <w:p w14:paraId="510B5491" w14:textId="77777777" w:rsidR="00AE7BC3" w:rsidRPr="00AE7BC3" w:rsidRDefault="00AE7BC3" w:rsidP="00AE7BC3">
      <w:pPr>
        <w:pStyle w:val="ListeParagraf"/>
        <w:numPr>
          <w:ilvl w:val="0"/>
          <w:numId w:val="1"/>
        </w:numPr>
        <w:tabs>
          <w:tab w:val="left" w:pos="284"/>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Başvurucunun meslekten çıkarılması, 15 Temmuz’dan önce yapılan fişlemelere dayanmaktadır. KHK’lara ekli listede yer almak ceza yargılamasına konu edilmiş, açığa alma kararı tutuklamaya, tutuklama ise meslekten çıkarma işlemine gerekçe olmuştur. Meslekten çıkarma kararı, iddianame ve yargılama sürecine dayanak yapılmış, verilen mahkûmiyet hükmü de idare mahkemesi tarafından başvurucunun meslekten çıkarılmasına karşı açtığı davanın reddine gerekçe gösterilmiştir. Böylece gözaltından mahkûmiyete ve hatta idari yargı sürecine kadar tüm aşamalar, hukuka aykırı fişleme listelerine dayalı, kapalı ve otomatik bir döngü oluşturmuştur. </w:t>
      </w:r>
      <w:r w:rsidRPr="00D73977">
        <w:rPr>
          <w:rFonts w:eastAsia="Times New Roman" w:cs="Times New Roman"/>
          <w:b/>
          <w:bCs/>
          <w:color w:val="C00000"/>
          <w:szCs w:val="24"/>
          <w:highlight w:val="yellow"/>
          <w:u w:val="single"/>
          <w:lang w:val="tr-TR"/>
        </w:rPr>
        <w:t>(Bu paragrafı, gerekiyorsa somut olaya uygun şekilde güncelleyiniz)</w:t>
      </w:r>
    </w:p>
    <w:p w14:paraId="3AB82601" w14:textId="77777777" w:rsidR="00AE7BC3" w:rsidRPr="00AE7BC3" w:rsidRDefault="00AE7BC3" w:rsidP="00AE7BC3">
      <w:pPr>
        <w:pStyle w:val="ListeParagraf"/>
        <w:numPr>
          <w:ilvl w:val="0"/>
          <w:numId w:val="1"/>
        </w:numPr>
        <w:tabs>
          <w:tab w:val="left" w:pos="284"/>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Bu süreçte başvurucu, terör örgütü ile irtibatlı veya iltisaklı olma gerekçesiyle meslekten çıkarılmış, ömür boyu tüm kamu görevlerinden menedilmiş ve SGK şerhi nedeniyle özel sektörde de çalışamaz hale getirilmiştir. Başvurucunun meslekten çıkarılması işlemi, (i) her ne kadar olağanüstü bir tedbir olarak adlandırılsa da dayanağı doğrudan Türk Ceza Kanunu’nda (TCK) da suç olarak düzenlenen “terör örgütü üyeliği” ve eşdeğer sonuçlar doğuran “irtibat ve iltisaklı olmak”tır. (ii) başvurucu karalayıcı içerikli KHK ve ekindeki listede “terör örgütü mensubu” olarak ilan edilmiştir. (iii) ömür boyu kamu görevinden ve diğer kamu hizmetlerinden menedilmiş ve özel sektörde çalışma imkânı da ortadan kaldırılmıştır. (iv) ayrıca ihraç tedbirleri münferit olmayıp, on binlerce kamu görevlisine aynı genelleyici suçlamalarla topluca uygulanmıştır.</w:t>
      </w:r>
    </w:p>
    <w:p w14:paraId="4596BA59" w14:textId="77777777" w:rsidR="00AE7BC3" w:rsidRPr="00AE7BC3" w:rsidRDefault="00AE7BC3" w:rsidP="00AE7BC3">
      <w:pPr>
        <w:pStyle w:val="ListeParagraf"/>
        <w:numPr>
          <w:ilvl w:val="0"/>
          <w:numId w:val="1"/>
        </w:numPr>
        <w:tabs>
          <w:tab w:val="left" w:pos="284"/>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Kamu hizmetinden yasaklılık TCK m.53’te fer’î ceza, Devlet Memurları Kanunu m.125/e’de ise en ağır disiplin cezası olarak öngörülmüştür. Dolayısıyla meslekten çıkarma, yalnızca idari bir tedbir olmayıp, Türk hukukuna göre de ceza niteliği taşıyan ağır ve süresiz bir yaptırımdır. AİHM, Polonya’daki lustration davalarında (Matyjek §§49-58; Bobek §54), hapis cezası içermeyen 10 yıllık kamu görevinden men yaptırımlarını dahi, isnadın mahiyeti, damgalama etkisi ve yaptırımın ağırlığı nedeniyle cezai nitelikte saymış ve adil yargılanma hakkının ihlal edildiğine karar vermiştir. Türkiye’deki uygulama, daha da ağırdır: OHAL KHK’leri doğrudan suç isnadı içeren ifadelerle başvurucuyu kamuoyu önünde “terör örgütü mensubu” olarak damgalamış, ömür boyu kamu hizmetinden men ve özel sektörde fiilen çalışma yasağı sonucunu doğurmuştur. Üstelik Anayasa </w:t>
      </w:r>
      <w:r w:rsidRPr="00AE7BC3">
        <w:rPr>
          <w:rFonts w:eastAsia="Times New Roman" w:cs="Times New Roman"/>
          <w:szCs w:val="24"/>
          <w:lang w:val="tr-TR"/>
        </w:rPr>
        <w:lastRenderedPageBreak/>
        <w:t>Mahkemesi (AYM) de “üyelik/mensubiyet” ibaresinin masumiyet karinesini ihlal ettiğini tespit etmiştir (E:2018/81, 24.06.2021). Bu koşullar altında, başvurucuya uygulanan tedbirin Engel kriterleri uyarınca cezai nitelik taşıdığı açıktır ve AİHS m.6’nın tüm güvencelerinin uygulanması zorunludur.</w:t>
      </w:r>
    </w:p>
    <w:p w14:paraId="4277B4D6" w14:textId="77777777" w:rsidR="00AE7BC3" w:rsidRPr="00AE7BC3" w:rsidRDefault="00AE7BC3" w:rsidP="00AE7BC3">
      <w:pPr>
        <w:pStyle w:val="Balk2"/>
        <w:rPr>
          <w:rFonts w:cs="Times New Roman"/>
          <w:szCs w:val="24"/>
        </w:rPr>
      </w:pPr>
      <w:r w:rsidRPr="00AE7BC3">
        <w:rPr>
          <w:rFonts w:cs="Times New Roman"/>
          <w:szCs w:val="24"/>
        </w:rPr>
        <w:t>AİHS m.6 § 1 - Bağımsız ve tarafsız mahkemede yargılanma hakkı ihlal edilmiştir.</w:t>
      </w:r>
    </w:p>
    <w:p w14:paraId="05613AAE" w14:textId="77777777" w:rsidR="00AE7BC3" w:rsidRPr="00AE7BC3" w:rsidRDefault="00AE7BC3" w:rsidP="00AE7BC3">
      <w:pPr>
        <w:pStyle w:val="ListeParagraf"/>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Türkiye’de yargı bağımsızlığı ve tarafsızlığı özellikle 15 Temmuz 2016 darbe girişimi öncesi ve sonrasında, bu ilke ciddi biçimde zedelenmiştir. İdari yargının en üst organı olan Danıştay, özellikle meslekten çıkarılma davalarının temyiz incelemesini yapan 5. Dairesi, bu dönemde yürütmenin etkisi altında yeniden yapılandırılmıştır. 2014 yılında Hakimler ve Savcılar Yüksek Kurulu (HS(Y)K) seçimlerini iktidar tarafından desteklenen Yargıda Birlik Platformu’nun (YBP) kazanmasıyla yüksek yargı üyeliklerinde objektif kriterler yerine siyasi sadakat esas alınmış, bu durum Avrupa Komisyonu raporlarına da yansımış ve yüksek mahkemelerin yürütmenin araçları haline geldiği yönünde ciddi kaygılar dile getirilmiştir (Örneğin bkz. 2016 İlerleme Raporu).</w:t>
      </w:r>
      <w:r w:rsidRPr="00AE7BC3">
        <w:rPr>
          <w:rStyle w:val="DipnotBavurusu"/>
          <w:rFonts w:cs="Times New Roman"/>
          <w:szCs w:val="24"/>
          <w:lang w:val="tr-TR"/>
        </w:rPr>
        <w:footnoteReference w:id="1"/>
      </w:r>
      <w:r w:rsidRPr="00AE7BC3">
        <w:rPr>
          <w:rFonts w:cs="Times New Roman"/>
          <w:szCs w:val="24"/>
          <w:lang w:val="tr-TR"/>
        </w:rPr>
        <w:t xml:space="preserve"> Liyakat yerine iktidara yakınlık ve “Gülen Hareketi’ne karşı mücadele” gibi siyasi ölçütlerin belirleyici hale gelmesi, yargı bağımsızlığını temelden sarsmış ve Danıştay’ın tarafsızlığına dair objektif kuşkular doğurmuştur.</w:t>
      </w:r>
    </w:p>
    <w:p w14:paraId="7E14DCE1" w14:textId="77777777" w:rsidR="00AE7BC3" w:rsidRPr="00AE7BC3" w:rsidRDefault="00AE7BC3" w:rsidP="00AE7BC3">
      <w:pPr>
        <w:pStyle w:val="ListeParagraf"/>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lastRenderedPageBreak/>
        <w:t>12 Aralık 2014 tarihli 6572 sayılı Yasa ile Danıştay’da yeni daireler oluşturulup iş bölümü yeniden düzenlenmiş, hemen ardından HS(Y)K tarafından çoğunluğu YBP üyesi 33 yeni üye seçilmiştir. Anayasa ve Danıştay Kanunu gereği üyelerin dörtte birini doğrudan atama yetkisine sahip olan Cumhurbaşkanı, bu süreçte yürütmeye bağlı görev yapan ve hatta bazıları hukukçu olmayan 9 bürokratı Danıştay üyesi olarak atamıştır. Üyelerin dörtte üçünün yürütme kontrolündeki HS(Y)K, kalanının da partili Cumhurbaşkanı tarafından belirlenmesi, Danıştay’ın bağımsız bir mahkeme olma niteliğini fiilen ortadan kaldırmıştır.</w:t>
      </w:r>
    </w:p>
    <w:p w14:paraId="016AA25F" w14:textId="77777777" w:rsidR="00AE7BC3" w:rsidRPr="00AE7BC3" w:rsidRDefault="00AE7BC3" w:rsidP="00AE7BC3">
      <w:pPr>
        <w:pStyle w:val="ListeParagraf"/>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15 Temmuz darbe girişiminin ertesi günü, Anayasa ve yasaların öngördüğü güvenceler yok sayılarak 48 Danıştay, 140 Yargıtay ve 2 AYM üyesi gözaltına alınıp tutuklanmıştır. Darbenin hemen ardından ilan edilen OHAL döneminde, 23 Temmuz 2016 tarihli 6723 sayılı Kanun ile Danıştay’ın üye sayısı 195’ten 116’ya düşürülmüş, mevcut üyelerin görevleri sona erdirilmiş, ardından HS(Y)K tarafından 75 yeni üye seçilerek Danıştay’ın yapısı tamamen değiştirilmiştir. Bu tasfiye, hâkimlik teminatı olan görev süresi güvencesini yok etmiş, YBP çizgisindeki HS(Y)K’nın belirlediği üyelerle Danıştay siyasi iktidarın denetimine girmiştir.</w:t>
      </w:r>
    </w:p>
    <w:p w14:paraId="72E3C916" w14:textId="77777777" w:rsidR="00AE7BC3" w:rsidRPr="00AE7BC3" w:rsidRDefault="00AE7BC3" w:rsidP="00AE7BC3">
      <w:pPr>
        <w:pStyle w:val="ListeParagraf"/>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2017 Anayasa değişikliğiyle Cumhurbaşkanlığı Hükümet Sistemi’ne geçilmiş, yürütme yetkisi tamamen Cumhurbaşkanı’nda toplanmıştır. Bakanlar Kurulu kaldırılmış, böylece Danıştay artık doğrudan Cumhurbaşkanı kararlarını ilk derece mahkemesi olarak inceleyen merci haline gelmiştir. HS(Y)K, Hakimler ve Savcılar Kurulu (HSK) adını alarak yapısı kökten değiştirilmiştir. Üyelerinin altısının TBMM, yedisinin Cumhurbaşkanı tarafından seçileceği, Adalet Bakanı ve Müsteşarının doğal üye olacağı düzenlenmiştir. Böylece HSK, tamamen yürütme ve yasama çoğunluğunun kontrolüne bırakılmış; Danıştay üyelerinin seçiminde siyasi iktidar tartışmasız belirleyici hale getirilmiştir. Anayasa’da Danıştay üyelerinin üçte dördünün HSK, dörtte birinin Cumhurbaşkanı tarafından seçileceği hükmü (m. 155) korunmuş görünse de HSK’nın siyasal iktidarca şekillendirilmesi çoğulculuk görüntüsünü ortadan kaldırmıştır. Böylece hem denetlediği makam hem de üyelerini belirleyen makam aynı siyasi otoriteye bağlanmış, kuvvetler ayrılığı ciddi biçimde zedelenmiştir.</w:t>
      </w:r>
    </w:p>
    <w:p w14:paraId="27A64223" w14:textId="77777777" w:rsidR="00AE7BC3" w:rsidRPr="00AE7BC3" w:rsidRDefault="00AE7BC3" w:rsidP="00AE7BC3">
      <w:pPr>
        <w:pStyle w:val="ListeParagraf"/>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 xml:space="preserve">Üstelik, hükümet politikalarıyla uyumlu kararlar vermeyen çok sayıda hâkim ve savcının HS(Y)K tarafından görevlerinden alınarak pasif görevlere atanması veya </w:t>
      </w:r>
      <w:r w:rsidRPr="00AE7BC3">
        <w:rPr>
          <w:rFonts w:cs="Times New Roman"/>
          <w:szCs w:val="24"/>
          <w:lang w:val="tr-TR"/>
        </w:rPr>
        <w:lastRenderedPageBreak/>
        <w:t>sürgün edilmesi, ayrıca olağanüstü hâl döneminde çıkarılan KHK’larda yer alan “iltisak” ve “irtibat” gibi muğlak ve öngörülemez kavramlar aracılığıyla hâkim ve savcıların denetimsiz ve keyfî biçimde meslekten çıkarılabilmesi, yargı bağımsızlığını daha da zayıflatmıştır. HSYK’nın bu yönde sürekli faaliyette bulunduğuna ilişkin basında çıkan haberler ve KHK’larla sağlanan “sorumluluk zırhı” altında bu yetkilerini kullanması, başvurucu dâhil benzer davalarda karar veren hâkimler üzerinde ciddi bir baskı ve caydırıcı etki oluşturmuştur. Ayrıca Avrupa Konseyi Yolsuzluğa Karşı Devletler Grubu (GRECO) da Türkiye’de yargı bağımsızlığının yapısal güvencelerden yoksun olduğunu vurgulayarak, HS(Y)K’nın tüm üyelerinin Cumhurbaşkanı ve Parlamento tarafından atanmasının ve hâkim/savcıların kendi temsilcilerini seçememesinin Avrupa standartlarıyla bağdaşmadığını belirtmiştir. GRECO raporunda ayrıca yürütmenin hâkim ve savcıların seçimi, atanması, istem dışı yer değiştirmeleri, disiplin işlemleri ve meslek içi eğitim süreçleri üzerinde güçlü bir etkisini sürdürdüğü ifade edilmiştir. Bu koşullar altında, başvurucunun meslekten çıkarılmasına ilişkin davaya bakan mahkemeler bağımsız ve tarafsız bir yargı mercii olarak değerlendirilemez.</w:t>
      </w:r>
    </w:p>
    <w:p w14:paraId="3044025F" w14:textId="77777777" w:rsidR="00AE7BC3" w:rsidRPr="00AE7BC3" w:rsidRDefault="00AE7BC3" w:rsidP="00AE7BC3">
      <w:pPr>
        <w:pStyle w:val="ListeParagraf"/>
        <w:numPr>
          <w:ilvl w:val="0"/>
          <w:numId w:val="1"/>
        </w:numPr>
        <w:tabs>
          <w:tab w:val="left" w:pos="284"/>
        </w:tabs>
        <w:spacing w:before="0" w:after="0" w:line="360" w:lineRule="auto"/>
        <w:ind w:left="0" w:firstLine="0"/>
        <w:rPr>
          <w:rFonts w:cs="Times New Roman"/>
          <w:szCs w:val="24"/>
          <w:lang w:val="tr-TR"/>
        </w:rPr>
      </w:pPr>
      <w:r w:rsidRPr="00AE7BC3">
        <w:rPr>
          <w:rFonts w:cs="Times New Roman"/>
          <w:szCs w:val="24"/>
          <w:lang w:val="tr-TR"/>
        </w:rPr>
        <w:t>Öte yandan, 24 Temmuz 2017 tarihli 696 sayılı OHAL KHK’sıyla Danıştay’a 12 yeni üyelik kadrosu ihdas edilmiş, seçimler 16 Temmuz 2018’de yapılmıştır. HSK kriterleri açıklamasa da Anadolu Ajansı, seçilenlerin çoğunun “FETÖ ile mücadelede görev almış” isimlerden oluştuğunu duyurmuş, hatta bazı üyelerin baktıkları davaları örnek göstermiştir.</w:t>
      </w:r>
      <w:r w:rsidRPr="00AE7BC3">
        <w:rPr>
          <w:rStyle w:val="DipnotBavurusu"/>
          <w:rFonts w:cs="Times New Roman"/>
          <w:szCs w:val="24"/>
          <w:lang w:val="tr-TR"/>
        </w:rPr>
        <w:footnoteReference w:id="2"/>
      </w:r>
      <w:r w:rsidRPr="00AE7BC3">
        <w:rPr>
          <w:rFonts w:cs="Times New Roman"/>
          <w:szCs w:val="24"/>
          <w:lang w:val="tr-TR"/>
        </w:rPr>
        <w:t xml:space="preserve"> Bu durum, Danıştay üyeliklerinde liyakat yerine yürütmenin politik tercihleri doğrultusunda belirlemelerin yapıldığını açıkça ortaya koymaktadır.</w:t>
      </w:r>
    </w:p>
    <w:p w14:paraId="3C1BBF31" w14:textId="061340E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Hem siyasi iktidara yakın üye profili hem verdiği kararlar hem de üyelerin yaptıkları açıklamalar Danıştay 5. Dairesinin objektif tarafsızlık görünümünü ortadan kaldırmıştır. Örneğin, Yunus Aykın darbeden aylar sonra yaptığı konuşmalarda “doğru liderlik” ve “ülkenin beka sorunu” gibi siyasi söylemlerle tarafsızlığı konusunda ciddi kuşkular uyandırmıştır.</w:t>
      </w:r>
      <w:r w:rsidRPr="00AE7BC3">
        <w:rPr>
          <w:rStyle w:val="DipnotBavurusu"/>
          <w:rFonts w:cs="Times New Roman"/>
          <w:szCs w:val="24"/>
          <w:lang w:val="tr-TR"/>
        </w:rPr>
        <w:footnoteReference w:id="3"/>
      </w:r>
      <w:r w:rsidRPr="00AE7BC3">
        <w:rPr>
          <w:rFonts w:cs="Times New Roman"/>
          <w:szCs w:val="24"/>
          <w:lang w:val="tr-TR"/>
        </w:rPr>
        <w:t xml:space="preserve"> Cumhurbaşkanı tarafından atanan ve hukukçu olmayan İsmail Kalender ile daha önce AKP’den milletvekili aday adayı olan Cevdet Malkoç’un üyelikleri de bağımsızlık ve tarafsızlık sorununa dair endişeleri derinleştirmiştir. Benzer şekilde, Adalet Bakanlığı Müsteşar </w:t>
      </w:r>
      <w:r w:rsidRPr="00AE7BC3">
        <w:rPr>
          <w:rFonts w:cs="Times New Roman"/>
          <w:szCs w:val="24"/>
          <w:lang w:val="tr-TR"/>
        </w:rPr>
        <w:lastRenderedPageBreak/>
        <w:t>Yardımcısı ve YBP Başkanı iken Danıştay’a seçilen Musa Heybet, 2017-2018 yıllarında yaptığı açıklamalarda açıkça “FETÖ ile mücadele”, “darbe yargılamaları”, “milli irade” ve “tasfiyelerle gelen huzur” gibi ifadeler kullanmıştır. Bu söylemler, davalara ön yargılı yaklaşımın ve yürütmenin söylemleriyle paralel hareket ettiğinin göstergesi olmuştur.</w:t>
      </w:r>
      <w:r w:rsidRPr="00AE7BC3">
        <w:rPr>
          <w:rStyle w:val="DipnotBavurusu"/>
          <w:rFonts w:cs="Times New Roman"/>
          <w:szCs w:val="24"/>
          <w:lang w:val="tr-TR"/>
        </w:rPr>
        <w:footnoteReference w:id="4"/>
      </w:r>
      <w:r w:rsidRPr="00AE7BC3">
        <w:rPr>
          <w:rFonts w:cs="Times New Roman"/>
          <w:szCs w:val="24"/>
          <w:lang w:val="tr-TR"/>
        </w:rPr>
        <w:t xml:space="preserve"> Görüldüğü üzere, 5. Daire üyelerinin bizzat kendi beyanları, tarafsızlıkları konusunda haklı şüphelere yol açmıştır.</w:t>
      </w:r>
      <w:r w:rsidR="00D73977">
        <w:rPr>
          <w:rStyle w:val="DipnotBavurusu"/>
          <w:rFonts w:cs="Times New Roman"/>
          <w:szCs w:val="24"/>
          <w:lang w:val="tr-TR"/>
        </w:rPr>
        <w:footnoteReference w:id="5"/>
      </w:r>
    </w:p>
    <w:p w14:paraId="0F829BFC"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Danıştay’ın tarafsız olmadığına dair somut örneklerden biri de hükümete yakın Sabah gazetesinin 450 yargı mensubunun Danıştay 5. Dairesi tarafından göreve iade edildiği ve HSK itirazlarının İdari Dava Daireleri Kurulu’nda (İDDK) gündeme alınmadığı yönündeki haberidir.</w:t>
      </w:r>
      <w:r w:rsidRPr="00AE7BC3">
        <w:rPr>
          <w:rStyle w:val="DipnotBavurusu"/>
          <w:rFonts w:cs="Times New Roman"/>
          <w:szCs w:val="24"/>
          <w:lang w:val="tr-TR"/>
        </w:rPr>
        <w:footnoteReference w:id="6"/>
      </w:r>
      <w:r w:rsidRPr="00AE7BC3">
        <w:rPr>
          <w:rFonts w:cs="Times New Roman"/>
          <w:szCs w:val="24"/>
          <w:lang w:val="tr-TR"/>
        </w:rPr>
        <w:t xml:space="preserve"> Bu haber üzerine Cumhurbaşkanı Erdoğan, Danıştay’ın kararlarına tepki göstermiş ve sürecin takipçisi olacaklarını açıklamıştır.</w:t>
      </w:r>
      <w:r w:rsidRPr="00AE7BC3">
        <w:rPr>
          <w:rStyle w:val="DipnotBavurusu"/>
          <w:rFonts w:cs="Times New Roman"/>
          <w:szCs w:val="24"/>
          <w:lang w:val="tr-TR"/>
        </w:rPr>
        <w:footnoteReference w:id="7"/>
      </w:r>
      <w:r w:rsidRPr="00AE7BC3">
        <w:rPr>
          <w:rFonts w:cs="Times New Roman"/>
          <w:szCs w:val="24"/>
          <w:lang w:val="tr-TR"/>
        </w:rPr>
        <w:t xml:space="preserve"> Tepkinin ardından Danıştay internet sitesinde bir açıklama yayımlayıp kısa süre sonra kaldırmış, HSK ise iade edilen 387 isim hakkında yeniden inceleme başlatmıştır. Bu süreçte, 5. Daire’nin verdiği iade kararlarının büyük çoğunluğu İDDK tarafından bozulmuştur. Bu gelişmeler, yürütmenin baskısıyla hareket eden Danıştay’ın bağımsız ve tarafsız bir merci olmadığını açıkça göstermektedir.</w:t>
      </w:r>
    </w:p>
    <w:p w14:paraId="20A6DC94"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15 Temmuz öncesi ve sonrası verilen kararların karşılaştırılması, Danıştay içtihatlarında köklü bir kırılma olduğunu göstermektedir. 2010-2015 döneminde disiplin hukukunun temel güvenceleri titizlikle uygulanırken, 2016 sonrasında özellikle “FETÖ/PDY ile iltisak ve irtibat” gerekçesiyle ihraç işlemlerinde bu güvenceler tamamıyla terk edilmiştir.</w:t>
      </w:r>
      <w:bookmarkStart w:id="0" w:name="_Hlk209701395"/>
    </w:p>
    <w:p w14:paraId="3C68DEED"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2010-2015 arası</w:t>
      </w:r>
      <w:bookmarkEnd w:id="0"/>
      <w:r w:rsidRPr="00AE7BC3">
        <w:rPr>
          <w:rFonts w:cs="Times New Roman"/>
          <w:szCs w:val="24"/>
          <w:lang w:val="tr-TR"/>
        </w:rPr>
        <w:t xml:space="preserve">nda Danıştay, suçun şahsiliği ilkesine mutlak bağlı kalmış, kamu görevlilerinin eşleri veya yakınlarının fiillerini davacının mesleki sorumluluğuna yansıtmamış; eşin örgütsel bağlantısı gibi durumları delil kabul etmemiştir (Bkz. Danıştay İDDK, E.2013/3683, 09.11.2015). Aynı dönemde, ceza </w:t>
      </w:r>
      <w:r w:rsidRPr="00AE7BC3">
        <w:rPr>
          <w:rFonts w:cs="Times New Roman"/>
          <w:szCs w:val="24"/>
          <w:lang w:val="tr-TR"/>
        </w:rPr>
        <w:lastRenderedPageBreak/>
        <w:t>mahkemelerinden verilen beraat kararlarına da bağlayıcılık tanınmış; ceza yargılamasında kişinin suçsuz olduğu kabul edilmişse, idari yargıda bu tespite bağlı kalmıştır. Savunma hakkı da mutlak güvence sayılmış, savunma alınmadan yapılan disiplin veya ihraç işlemleri iptal edilmiştir. Danıştay, savunmanın şekli değil esasa ilişkin bir güvence olduğunu açıkça belirtmiştir (Bkz. Danıştay İDDK, E.2012/1517). OHAL döneminde ise savunma hakkının “telafi edilebilir” görülmesiyle tamamen zıt bir yaklaşım sergilenmiştir. Ayrıca, bu dönemde delil standardı yüksek tutulmuş, meslekten çıkarma gibi ağır yaptırımlar için “her türlü şüpheden uzak, kesin ve inandırıcı delil” aranmış, söylenti veya soyut kanaatlerle verilen işlemler iptal edilmiştir (Bkz. Danıştay 5. Daire E.2011/4321).</w:t>
      </w:r>
    </w:p>
    <w:p w14:paraId="1E3CF6AD"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2016 sonrası Danıştay içtihatları, meslekten çıkarma işlemlerini disiplin cezası olmaktan çıkarıp “terör örgütleriyle veya milli güvenliğe karşı faaliyetlerde bulunan yapılarla irtibat ve iltisak” gerekçesiyle alınan “nihai sonuç doğuran olağanüstü tedbir” olarak tanımlamıştır (Bkz. Danıştay 5. Daire., E. 2016/8196, 04.10.2016). Bu yaklaşım, önceki dönemdeki yüksek delil standardı ve hak güvencelerinden köklü bir kopuşu temsil etmektedir.</w:t>
      </w:r>
    </w:p>
    <w:p w14:paraId="23D016C1"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Bu dönemde suçun şahsiliği ilkesi de terk edilmiştir. Somut delil bulunmadığı hallerde eşin örgütsel bağlantısı davacıya yüklenmiş, “hayatın olağan akışına göre eşin durumunu bilmesi gerekirdi” gerekçesiyle meslekten çıkarma kararlarına onay verilmiştir (Bkz. Danıştay 5. Daire, E.2017/14956, 27.06.2022). Bu uygulama, yukarıda değinilen eşin fiillerinin davacıya yüklenemeyeceğini vurgulayan içtihatlarla tamamen çelişmektedir. Yine, ceza yargılamasında beraat eden kişiler hakkında Danıştay, beraat kararını bağlayıcı görmemiş; “örgüt evinde kalmak” ve bazı sosyal ilişkileri “iltisak” için yeterli sayarak ihraç kararlarını onamıştır (Bkz. Danıştay 5. Daire, E.2017/7311, 17.10.2022). Böylece beraatin disiplin yargısında fiilin sübut bulmadığını gösterdiği yönündeki önceki yaklaşım terk edilmiştir.</w:t>
      </w:r>
    </w:p>
    <w:p w14:paraId="01059DAB"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Ceza davaları kesinleşmeden de ihraç kararları verilmiş, yalnızca ankesörlü telefon kayıtları, Bank Asya hesap hareketleri veya tanık beyanları “iltisak” için yeterli görülmüştür (Bkz. Danıştay İDDK, E.2022/2527, 04.07.2023). Bu durum, Danıştay’ın ceza ve idare yargısı arasındaki bağı kopardığını ve delil standardını olağanüstü biçimde düşürdüğünü göstermektedir. Ayrıca, beraat kararlarına rağmen, idari yargı açısından “iltisak ve irtibatın” farklı olduğu belirtilerek geçmişte “örgüt evlerinde kalma”, “kod adı kullanma” gibi olgular meslekten </w:t>
      </w:r>
      <w:r w:rsidRPr="00AE7BC3">
        <w:rPr>
          <w:rFonts w:cs="Times New Roman"/>
          <w:szCs w:val="24"/>
          <w:lang w:val="tr-TR"/>
        </w:rPr>
        <w:lastRenderedPageBreak/>
        <w:t>çıkarma için yeterli sayılmıştır (Bkz. Danıştay İDDK, E.2022/376, 05.02.2024). Bu yaklaşımla, bağımsız değerlendirme adı altında, beraat kararlarının bağlayıcılığı tamamen ortadan kaldırılmıştır.</w:t>
      </w:r>
    </w:p>
    <w:p w14:paraId="4F7E5B66"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eastAsia="Times New Roman" w:cs="Times New Roman"/>
          <w:szCs w:val="24"/>
          <w:lang w:val="tr-TR"/>
        </w:rPr>
        <w:t xml:space="preserve">AYM, </w:t>
      </w:r>
      <w:r w:rsidRPr="00AE7BC3">
        <w:rPr>
          <w:rFonts w:eastAsia="Times New Roman" w:cs="Times New Roman"/>
          <w:i/>
          <w:iCs/>
          <w:szCs w:val="24"/>
          <w:lang w:val="tr-TR"/>
        </w:rPr>
        <w:t>Yalçınkaya</w:t>
      </w:r>
      <w:r w:rsidRPr="00AE7BC3">
        <w:rPr>
          <w:rFonts w:eastAsia="Times New Roman" w:cs="Times New Roman"/>
          <w:szCs w:val="24"/>
          <w:lang w:val="tr-TR"/>
        </w:rPr>
        <w:t xml:space="preserve"> kararında ve binlerce benzer başvuruda görüldüğü üzere, özellikle Gülen Cemaati ile bağlantısı olan ya da öyle olduğu kabul edilen kişilerin neredeyse tüm başvurularında açık hak ihlallerini görmezden gelen sistematik bir yaklaşım sergilemiştir. Ayrıca, ihraç işlemine karşı yapılan başvurulara dair kararlarda imzası bulunan üyelerin birçoğu, geçmişte Adalet Bakanlığı ve HS(Y)K’da yürütmeye bağlı görevlerde bulunmuş, hükümete yakınlıkları ve taraflı açıklamalarıyla bilinen kişilerdir. AİHM’in bağımsızlık ve tarafsızlık ölçütleri bakımından, AYM üyelerinin çoğunluğunun hükümetle yakın siyasi bağları, tartışmalı terfileri, Gülen Cemaatine ve gerçek/varsayılan mensuplarına yönelik kriminalize edici açıklamaları nesnel tarafsızlığı zedelemektedir. Yargıtay 9. Ceza Dairesi’nin </w:t>
      </w:r>
      <w:r w:rsidRPr="00AE7BC3">
        <w:rPr>
          <w:rFonts w:eastAsia="Times New Roman" w:cs="Times New Roman"/>
          <w:i/>
          <w:iCs/>
          <w:szCs w:val="24"/>
          <w:lang w:val="tr-TR"/>
        </w:rPr>
        <w:t>Birol Erdem</w:t>
      </w:r>
      <w:r w:rsidRPr="00AE7BC3">
        <w:rPr>
          <w:rFonts w:eastAsia="Times New Roman" w:cs="Times New Roman"/>
          <w:szCs w:val="24"/>
          <w:lang w:val="tr-TR"/>
        </w:rPr>
        <w:t xml:space="preserve"> kararında (01/02/2021 tarihli, 2019/11 E. sayılı) belirtildiği üzere, bazı AYM üyeleri Yargıda Birlik Platformu sürecinde hâkim/savcıların fişlenmesinde rol almış, güvenlik temelli politikaları destekleyen beyanlarda bulunmuştur.</w:t>
      </w:r>
      <w:r w:rsidRPr="00AE7BC3">
        <w:rPr>
          <w:rStyle w:val="DipnotBavurusu"/>
          <w:rFonts w:eastAsia="Times New Roman" w:cs="Times New Roman"/>
          <w:szCs w:val="24"/>
          <w:lang w:val="tr-TR"/>
        </w:rPr>
        <w:footnoteReference w:id="8"/>
      </w:r>
    </w:p>
    <w:p w14:paraId="3D852D53"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Tüm bu değişiklikler ve uygulamalar, başvurucunun bireysel başvuru süreci dahil “kanunla kurulmuş, bağımsız ve tarafsız mahkeme” hakkının açık ihlalini oluşturmaktadır.</w:t>
      </w:r>
    </w:p>
    <w:p w14:paraId="3928A338" w14:textId="77777777" w:rsidR="00AE7BC3" w:rsidRPr="00AE7BC3" w:rsidRDefault="00AE7BC3" w:rsidP="00AE7BC3">
      <w:pPr>
        <w:pStyle w:val="Balk2"/>
        <w:rPr>
          <w:rFonts w:cs="Times New Roman"/>
          <w:szCs w:val="24"/>
        </w:rPr>
      </w:pPr>
      <w:r w:rsidRPr="00AE7BC3">
        <w:rPr>
          <w:rFonts w:cs="Times New Roman"/>
          <w:szCs w:val="24"/>
        </w:rPr>
        <w:t>AİHS m.6 - Adil yargılanma hakkı ihlal edilmiştir.</w:t>
      </w:r>
    </w:p>
    <w:p w14:paraId="670A5B8E"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Anayasa’nın 129. maddesi gereğince </w:t>
      </w:r>
      <w:r w:rsidRPr="00AE7BC3">
        <w:rPr>
          <w:rFonts w:cs="Times New Roman"/>
          <w:i/>
          <w:iCs/>
          <w:szCs w:val="24"/>
          <w:lang w:val="tr-TR"/>
        </w:rPr>
        <w:t>"Memurlar ve diğer kamu görevlileri ile kamu kurumu niteliğindeki meslek kuruluşları ve bunların üst kuruluşları mensuplarına savunma hakkı tanınmadıkça disiplin cezası verilemez."</w:t>
      </w:r>
      <w:r w:rsidRPr="00AE7BC3">
        <w:rPr>
          <w:rFonts w:cs="Times New Roman"/>
          <w:szCs w:val="24"/>
          <w:lang w:val="tr-TR"/>
        </w:rPr>
        <w:t xml:space="preserve"> Buna karşın başvurucu, savunma hakkı tanınmaksızın ve meslekten çıkarma işleminde dair diğer usulü güvencelerin hiçbirine uyulmaksızın OHAL KHK’sına ekli listeye isminin eklenmesi suretiyle ihraç edilmiştir. Bu en ağır idari yaptırıma karşı yürütülen yargısal süreç de sonuçsuz kalmış, ilk derece mahkemesi ve istinaf/temyiz mercileri, gerekli inceleme ve değerlendirmeyi yapmaksızın, gerekçesiz şekilde davanın/istinaf/temyiz isteminin reddine karar vermişlerdir.</w:t>
      </w:r>
    </w:p>
    <w:p w14:paraId="136749FB"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lastRenderedPageBreak/>
        <w:t>Diğer taraftan, ByLock verisinin elde edilmesi ve saklanması aşamasında, adli bilişimin temel kurallarına (veri bütünlüğünün korunması, elde edildikten sonra zincirleme muhafaza, doğrulanabilirlik) uyulmamıştır. MİT’in bu verilerin “özel yollarla” elde edildiğine dair açıklaması, verinin kaynağı ve bütünlüğü üzerinde haklı ve şu ana kadar giderilemeyen bir şüphe doğurmuştur. Bu durumda güvenilir ve yargısal denetime elverişli bir delilden söz edilemez. Nitekim Yalçınkaya kararında tespit edildiği üzere, veriler toplandıktan aylar sonra Sulh Ceza Hâkimliğinden karar alınmıştır. Ayrıca dosyalara giren içeriklerin önemli bir kısmının 2019-2020 sonrası ortaya çıkması, sonradan ekleme ve manipülasyon ihtimalini de güçlendirmektedir. Bu şartlarda, ByLock verisinin ihraca (veya herhangi bir yaptırıma) esas alınması mümkün değildir. Kaldı ki CMK m.134 uyarınca hâkim kararı olmadan dijital verilerin elde edilmesi hukuka aykırıdır ve ceza yargılamasında kullanılamaz.</w:t>
      </w:r>
    </w:p>
    <w:p w14:paraId="7C8DCB2A"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Hukuka aykırı delilin hükme esas alınmaması, yalnız ceza yargısı için değil, disiplin/idari yaptırımlar için de geçerlidir. Anayasa Mahkemesi, Anayasa m.38/6’nın disiplin alanında da geçerli olduğunu açıkça belirtmiştir (Bkz. 04.04.1991 tarihli E.1990/12 sayılı ve 13.07.2016 tarihli B.No: 2014/7738 saylı kararlar). Danıştay 12. Dairesi’nin 30.05.2017 tarihli (E.2016/7260) kararı da disiplin hukukunda “şüpheden sanık yararlanır” ilkesini ve “kesin/inandırıcı delil” gerekliliğini teyit etmektedir.</w:t>
      </w:r>
    </w:p>
    <w:p w14:paraId="66B8182C"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AİHM de 16.02.2021 tarihli Budak/Türkiye (B.No: 69762/12) kararında AİHS m.53 uyarınca ulusal hukukun tanıdığı daha yüksek güvencelere aykırılığın, m.8 ve m.6 bağlamında ihlale yol açabileceğini vurgulamıştır. Ulusal hukuk (Anayasa m.38/6; CMK m.206/2-a, m.217/2, m.289/1-i) açıkken, hâkim kararı olmadan toplanmış ve bütünlüğünün korunduğu ispatlanmamış ByLock verisine dayanılarak tesis edilen ihraç işlemleri, hukuka aykırı delilin dışlanması kuralına aykırıdır. Bu nedenlerle, hâkim kararı olmaksızın elde edilmiş, kaynağı ve bütünlüğü doğrulanmamış ByLock verisi disiplin/ihraç işlemlerinde delil olarak kullanılamaz.</w:t>
      </w:r>
    </w:p>
    <w:p w14:paraId="3F842B06" w14:textId="77777777" w:rsidR="00AE7BC3" w:rsidRPr="00AE7BC3" w:rsidRDefault="00AE7BC3" w:rsidP="00AE7BC3">
      <w:pPr>
        <w:pStyle w:val="Balk2"/>
        <w:rPr>
          <w:rFonts w:cs="Times New Roman"/>
          <w:szCs w:val="24"/>
        </w:rPr>
      </w:pPr>
      <w:r w:rsidRPr="00AE7BC3">
        <w:rPr>
          <w:rFonts w:cs="Times New Roman"/>
          <w:szCs w:val="24"/>
        </w:rPr>
        <w:t>AİHS m.6 §2 - Masumiyet karinesi ihlal edilmiştir.</w:t>
      </w:r>
    </w:p>
    <w:p w14:paraId="4C735341"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Başvurucunun ismi, OHAL KHK’sına ekli listede “terör örgütüyle irtibatlı/iltisaklı” olarak yayımlanmıştır. Bu durum, anayasal düzeyde korunan masumiyet karinesini ihlal etmiştir (m.15/2). AYM ise N.E. ve A.S. gibi ana içtihat niteliğindeki kararlarında bu iddiayı incelememiştir (§§ 98-152). Ekli listede yer </w:t>
      </w:r>
      <w:r w:rsidRPr="00AE7BC3">
        <w:rPr>
          <w:rFonts w:eastAsia="Times New Roman" w:cs="Times New Roman"/>
          <w:szCs w:val="24"/>
          <w:lang w:val="tr-TR"/>
        </w:rPr>
        <w:lastRenderedPageBreak/>
        <w:t>alan isimler resmi internet sitesinde yayımlanmış, ardından basında yoğun biçimde suçlayıcı haberler yapılmıştır. Kamu makamlarının özen yükümlülüğünü yerine getirmemeleri sonucunda başvurucu, terör örgütü üyeliği isnadıyla kamuoyu önünde zan altında bırakılmıştır.</w:t>
      </w:r>
    </w:p>
    <w:p w14:paraId="7F4DC8CA" w14:textId="77777777" w:rsidR="00AE7BC3" w:rsidRPr="00AE7BC3" w:rsidRDefault="00AE7BC3" w:rsidP="00AE7BC3">
      <w:pPr>
        <w:pStyle w:val="Balk2"/>
        <w:rPr>
          <w:rFonts w:cs="Times New Roman"/>
          <w:szCs w:val="24"/>
        </w:rPr>
      </w:pPr>
      <w:r w:rsidRPr="00AE7BC3">
        <w:rPr>
          <w:rFonts w:cs="Times New Roman"/>
          <w:szCs w:val="24"/>
        </w:rPr>
        <w:t>AİHS m.7 - Suç ve cezaların kanuniliği ilkesi ihlal edilmiştir.</w:t>
      </w:r>
    </w:p>
    <w:p w14:paraId="661CE7F7"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AİHS m.7’nin koruduğu “suç ve cezaların kanuniliği” ilkesi, yalnızca ceza kanunlarında yazılı suç tipleriyle sınırlı bir güvence değildir. Devletin bir kimseye isnat ettiği fiilleri, süresiz kamu hizmetinden yasaklama gibi cezalandırıcı nitelikte sonuçlara bağlarken başvuracağı kuralların da erişilebilir, öngörülebilir ve keyfî yoruma kapalı olması gerekir. Kamu görevinden çıkarma işlemleri, idare ve AYM tarafından her ne kadar “idari/olağanüstü tedbir” olarak nitelendirilmiş olsa da mahiyeti (ömür boyu kamu hizmetlerinden men, fiilen özel sektörde çalışamama, kişisel itibara ağır darbe) ve isnadın niteliği (terör örgütü ile bağlantı ya da aidiyet) itibarıyla cezalandırıcı sonuç doğurmaktadır. Bu nedenle, AİHS m.7’nin aradığı nitelikte açık ve belirli bir yasal çerçeve olmaksızın uygulanması hukuken kabul edilemez. </w:t>
      </w:r>
    </w:p>
    <w:p w14:paraId="7DFBCEDC"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OHAL KHK’ları ile Türk hukuk sistemine ilk kez giren “irtibat/iltisak” kavramlarının tanımı yapılmamış; kapsamı, unsurları ve ispat ölçütleri belirlenmemiş; hangi davranışların ne eşikte bu kavramların içine gireceği gösterilmemiştir. MGK kararlarına yapılan atıf da söz konusu boşluğu doldurmamaktadır. İdari mahiyetteki kararlarla, yargısal nitelikte suç ve ceza ihdas edilmesi mümkün değildir. Bu belirsizlik, idareye denetimsiz bir takdir alanı açmış; aynı nitelikteki olguların kişiler arasında seçmeci biçimde “örgüt iltisakı” sayılmasına yol açmıştır. AİHS m.7 uyarınca aleyhe genişletici yorum yasaktır; öngörülebilirliği bulunmayan muğlak ifadelerle kişilere ağır yaptırımlar yüklenmesi hukuken mümkün değildir.</w:t>
      </w:r>
    </w:p>
    <w:p w14:paraId="403BCFD9"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Meslekten ihraç kararı, başvurucunun ihraç edildiği KHK’nın yürürlüğe girdiği tarihten önceki ve o dönem yasal/olağan kabul edilen ilişki ve faaliyetlere dayandırılmıştır. Bir kimsenin, işlendiği tarihte suç sayılmayan ve hatta hukuken güvence altında olan özgürlüklerin kullanımı niteliğindeki davranışları nedeniyle, sonradan ihdas edilen muğlak kavramlar üzerinden kamu görevinden ömür boyu yasaklanma yaptırımına maruz bırakılması, m.7’nin yasallık ve öngörülebilirlik gereklilikleriyle bağdaşmamaktadır.</w:t>
      </w:r>
    </w:p>
    <w:p w14:paraId="51A19079"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lastRenderedPageBreak/>
        <w:t>Nitekim AİHM, yakın tarihli çok sayıda içtihadında (örneğin bkz. Yalçınkaya ve Taner Kılıç) “örgüt üyeliği/yardım” suçlamalarında belirlilik, öngörülebilirlik ve kanıtlama ölçütleri bakımından ciddi eksiklikler tespit etmiş; bankacılık işlemleri, eğitim faaliyetleri, dernek üyeliği, gazete aboneliği gibi başlı başına yasal faaliyetlerin otomatik olarak cezai sorumluluğa bağlanamayacağını vurgulamıştır. Aynı anlayış, idari işlem yoluyla uygulanan ancak cezalandırıcı etkisi tartışmasız olan meslekten çıkarma yaptırımı için de geçerlidir: “ByLock/HTS” iddiasının teknik temellendirme ve tarafsız bilirkişilikten yoksun biçimde kullanılması, “irtibat/iltisak”ın soyut tanık sözleri veya sosyal çevre bilgileriyle kurulması, grup aidiyeti üzerinden kolektif sorumluluk yüklenmesi, m.7’nin yasallık güvencesiyle bağdaşmamaktadır.</w:t>
      </w:r>
    </w:p>
    <w:p w14:paraId="3E30473A" w14:textId="77777777" w:rsidR="00AE7BC3" w:rsidRPr="00AE7BC3" w:rsidRDefault="00AE7BC3" w:rsidP="00AE7BC3">
      <w:pPr>
        <w:pStyle w:val="Balk2"/>
        <w:rPr>
          <w:rFonts w:cs="Times New Roman"/>
          <w:szCs w:val="24"/>
        </w:rPr>
      </w:pPr>
      <w:r w:rsidRPr="00AE7BC3">
        <w:rPr>
          <w:rFonts w:cs="Times New Roman"/>
          <w:szCs w:val="24"/>
        </w:rPr>
        <w:t>AİHS m. 8 - Özel hayata saygı hakkı ihlal edilmiştir.</w:t>
      </w:r>
    </w:p>
    <w:p w14:paraId="5D294AAB"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Başvurucunun OHAL KHK’sına dayanılarak meslekten çıkarılması, isminin Resmî Gazete’de yayımlanması ve “fişleme” ile sosyal çevre verilerinin önceden toplanıp kullanılması mesleki, ailevi ve diğer sosyal çevresinde şeref ve itibarını aşırı derecede zedelemiş; mesleki ilişkileri dahil geniş bir kitle ile olan sosyal ilişkilerini yitirmiş; kendisi ve ailesinin maddi refahı üzerinde yıkıcı sonuçlar doğurmuştur.</w:t>
      </w:r>
    </w:p>
    <w:p w14:paraId="142270B8"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Özel hayata müdahalenin AİHS’in 8. maddesine uygun kabul edilebilmesi için öncelikle bu </w:t>
      </w:r>
      <w:r w:rsidRPr="00AE7BC3">
        <w:rPr>
          <w:rFonts w:eastAsia="Times New Roman" w:cs="Times New Roman"/>
          <w:b/>
          <w:bCs/>
          <w:szCs w:val="24"/>
          <w:lang w:val="tr-TR"/>
        </w:rPr>
        <w:t>müdahalenin “yasayla öngörülmüş” olması</w:t>
      </w:r>
      <w:r w:rsidRPr="00AE7BC3">
        <w:rPr>
          <w:rFonts w:eastAsia="Times New Roman" w:cs="Times New Roman"/>
          <w:szCs w:val="24"/>
          <w:lang w:val="tr-TR"/>
        </w:rPr>
        <w:t xml:space="preserve"> </w:t>
      </w:r>
      <w:r w:rsidRPr="00AE7BC3">
        <w:rPr>
          <w:rFonts w:eastAsia="Times New Roman" w:cs="Times New Roman"/>
          <w:b/>
          <w:bCs/>
          <w:szCs w:val="24"/>
          <w:lang w:val="tr-TR"/>
        </w:rPr>
        <w:t>gerekir</w:t>
      </w:r>
      <w:r w:rsidRPr="00AE7BC3">
        <w:rPr>
          <w:rFonts w:eastAsia="Times New Roman" w:cs="Times New Roman"/>
          <w:szCs w:val="24"/>
          <w:lang w:val="tr-TR"/>
        </w:rPr>
        <w:t>. AİHM’e göre bu şart, yalnızca müdahalenin kanuni bir temelinin bulunmasını değil, aynı zamanda yasanın hukukun üstünlüğüne uygun, erişilebilir ve öngörülebilir olmasını da zorunlu kılar (Özpınar/Türkiye; N.F./İtalya).</w:t>
      </w:r>
    </w:p>
    <w:p w14:paraId="084AFA38"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Kamu görevlilerinin görev güvencesi, demokratik hukuk devletinin ve idarenin tarafsızlığının temel unsurlarından biridir. Hiçbir kamu görevlisi, görev süresi dolmadan veya kanunen öngörülmüş meşru sebepler dışında görevinden alınamaz, emekliliğe sevk edilemez ya da başka bir göreve keyfî biçimde atanamaz. Bu tür işlemler yalnızca kanunda açıkça belirtilen disiplin veya mesleki yetersizlik nedenleri mevcutsa, öngörülen usulü güvencelere riayet edilerek gerçekleştirilebilir.</w:t>
      </w:r>
    </w:p>
    <w:p w14:paraId="3F6DF2BC"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Hukukun üstünlüğü, AİHS’in tüm hükümlerinin temelinde yer almaktadır. Venedik Komisyonu raporlarında da belirtildiği üzere, genel bir düzenleme gibi </w:t>
      </w:r>
      <w:r w:rsidRPr="00AE7BC3">
        <w:rPr>
          <w:rFonts w:eastAsia="Times New Roman" w:cs="Times New Roman"/>
          <w:szCs w:val="24"/>
          <w:lang w:val="tr-TR"/>
        </w:rPr>
        <w:lastRenderedPageBreak/>
        <w:t>formüle edilse de gerçekte belirli kişileri hedef alan yasal düzenlemeler de hukukun üstünlüğü ilkesine aykırı kabul edilmektedir.</w:t>
      </w:r>
    </w:p>
    <w:p w14:paraId="7805FF91"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Öte yandan, temel hakları etkileyen konularda idareye sınırsız ve kontrolsüz takdir yetkisi tanınması hukukun üstünlüğü ilkesine aykırıdır. Dolayısıyla kanun, yetkili makamlara verilen takdir hakkının kapsamını, kullanım biçimini ve meşru amacını açık biçimde göstermeli, keyfi müdahalelere karşı yeterli güvenceler içermelidir (Al-Nashif/Bulgaristan; Amenn/İsviçre; Rotaru/Romanya; Klass ve diğerleri/Almanya; Ostrover/Moldova). Ulusal güvenlik söz konusu olduğunda dahi, kanunilik ve hukukun üstünlüğü ilkelerinin gözetilmesi zorunludur. </w:t>
      </w:r>
    </w:p>
    <w:p w14:paraId="192A65C0"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eastAsia="Times New Roman" w:cs="Times New Roman"/>
          <w:szCs w:val="24"/>
          <w:lang w:val="tr-TR"/>
        </w:rPr>
        <w:t xml:space="preserve">Başvurucu, “FETÖ/PDY ile iltisaklı ve irtibatlı” olduğu kabul edilerek OHAL KHK’sının ekinde yayınlanan listeye adının dahil edilmesiyle mesleğinden çıkarılmıştır. Söz konusu KHK’da, takdir yetkisinin kapsamı ve kullanım tarzı gösterilmemekte; idareye dizginsiz, şeffaf olmayan ve kontrolsüz bir yetki verilmektedir. Başvuranın meslekten çıkarılmasının temelini oluşturan KHK düzenleyici işlem görünümlü olsa da </w:t>
      </w:r>
      <w:r w:rsidRPr="00AE7BC3">
        <w:rPr>
          <w:rFonts w:cs="Times New Roman"/>
          <w:szCs w:val="24"/>
          <w:lang w:val="tr-TR"/>
        </w:rPr>
        <w:t>genel, soyut, objektif kurallar getirmeyip kişilere özel cezalandırıcı birel işlem niteliğindedir.</w:t>
      </w:r>
      <w:r w:rsidRPr="00AE7BC3">
        <w:rPr>
          <w:rStyle w:val="DipnotBavurusu"/>
          <w:rFonts w:cs="Times New Roman"/>
          <w:szCs w:val="24"/>
          <w:lang w:val="tr-TR"/>
        </w:rPr>
        <w:footnoteReference w:id="9"/>
      </w:r>
    </w:p>
    <w:p w14:paraId="0A8E24D6"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Ayrıca,</w:t>
      </w:r>
      <w:r w:rsidRPr="00AE7BC3">
        <w:rPr>
          <w:rFonts w:eastAsia="Times New Roman" w:cs="Times New Roman"/>
          <w:szCs w:val="24"/>
          <w:lang w:val="tr-TR" w:eastAsia="tr-TR"/>
        </w:rPr>
        <w:t xml:space="preserve"> 667 sayılı KHK’nın 9. maddesinde, KHK kapsamında karar alan ve görevleri yerine getiren kişilerin bu görevleri sebebiyle hukuki, idari, mali ve cezai sorumluluklarının da doğmayacağı düzenlenmiştir. Bu madde kendisini takdir hakkı verilenleri sınırsız bir şekilde denetimsiz bırakarak keyfilik potansiyelini en üst düzeye çıkarmaktadır. Nitekim Venedik Komisyonu da bu sorumsuzluğun KHK’ların suç teşkil edebilecek bazı eylemlere doğrudan izin ve emir verdiğini veya en azından görevlerini yerine getirirken suç işleyenlerin cezalandırılmayacağını ima ettiğini belirterek bu düzenlemenin kaldırılmasını talep etmiştir.</w:t>
      </w:r>
    </w:p>
    <w:p w14:paraId="0A27CE0F"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Bu çerçevede, temel haklara müdahale eden tedbirlerin, gerektiğinde gizli bilgilerin kullanımındaki usulü sınırlamalar da dâhil olmak üzere, bağımsız bir organ önünde çekişmeli usullere tabi olarak incelenmesi gerekir. İlgili kişi, ulusal güvenliğin gerçekten söz konusu olup olmadığını sorgulayabilmelidir. Her ne kadar idarenin ulusal güvenliğe dair değerlendirmesi özel bir ağırlığa sahip olsa da </w:t>
      </w:r>
      <w:r w:rsidRPr="00AE7BC3">
        <w:rPr>
          <w:rFonts w:eastAsia="Times New Roman" w:cs="Times New Roman"/>
          <w:szCs w:val="24"/>
          <w:lang w:val="tr-TR" w:eastAsia="tr-TR"/>
        </w:rPr>
        <w:lastRenderedPageBreak/>
        <w:t>bağımsız makam, olaylarda makul bir temel bulunmadığında veya yorumun hukuksuz, keyfi ve ortak anlayışa aykırı olduğu durumlarda müdahale edebilmelidir (Al-Nashif/Bulgaristan). Bu yaklaşım N.F./İtalya kararında somutlaşmıştır. AİHM, bir hâkime mason locasına üyeliği nedeniyle disiplin cezası öngören idari düzenlemenin, yargısal görevlerin gereği gibi yerine getirilmesi yükümlülüğü ile bağdaşmayacağını öngörülebilir kılmadığını belirtmiştir. Bu nedenle, disiplin sürecinin işletilmesi ve uyarma cezası verilmesi, “yasayla öngörülme” koşulunu karşılamamış ve AİHS’in 11. maddesinin ihlali sonucunu doğurmuştur.</w:t>
      </w:r>
    </w:p>
    <w:p w14:paraId="3418BE49"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AİHS’in 8. maddesinde düzenlenen hakka müdahaleye imkân veren </w:t>
      </w:r>
      <w:r w:rsidRPr="00AE7BC3">
        <w:rPr>
          <w:rFonts w:eastAsia="Times New Roman" w:cs="Times New Roman"/>
          <w:b/>
          <w:bCs/>
          <w:szCs w:val="24"/>
          <w:lang w:val="tr-TR" w:eastAsia="tr-TR"/>
        </w:rPr>
        <w:t>bir düzenlemenin taşıması gereken temel koşullardan biri de “erişilebilirlik”tir</w:t>
      </w:r>
      <w:r w:rsidRPr="00AE7BC3">
        <w:rPr>
          <w:rFonts w:eastAsia="Times New Roman" w:cs="Times New Roman"/>
          <w:szCs w:val="24"/>
          <w:lang w:val="tr-TR" w:eastAsia="tr-TR"/>
        </w:rPr>
        <w:t>. Erişilebilirlik, kişinin belirli bir davranışta bulunduğu veya sosyal bir ilişki kurduğu anda, bu davranış ya da ilişkilerin hangi sonuçlara yol açacağını ve hangi yaptırımlara bağlandığını gösteren hukuk kuralları hakkında yeterli bilgiye sahip olabilmesini ya da bu kuralları öğrenebilecek durumda bulunmasını ifade eder. Başka bir deyişle, bireylerin eylem ve ilişkilerinin sonuçlarını öngörebilmelerini sağlayacak hukuk kurallarına açık ve anlaşılır bir şekilde ulaşabilmeleri gerekir.</w:t>
      </w:r>
    </w:p>
    <w:p w14:paraId="3448D023"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Bakanlar Kurulu tarafından kabul edildiği tarihinden önceki döneme dair, suç teşkil etmeyen eylem ve ilişkilerden sonuç çıkarmaya matuf geçmişe etkili OHAL KHK’ları bu haliyle “erişilebilirlik” kriterini taşımamaktadır. KHK’ların, erişilebilir bir yasal düzenleme olup olmadığı değerlendirilirken, Türkiye’de herhangi bir dini ya da siyasi grup veya oluşum ile irtibatlı ya da iltisaklı olmanın kabul tarihinden önce (şu an dahil) yaptırım veya meslekten çıkarılmayı gerektirdiğine dair ne bir hukuki düzenleme ne bir yargı kararı ne de yerleşik bir idari uygulama mevcuttu. Yargı mercilerinde atıf yapılan MGK kararları ise, gizli nitelikte olup yalnızca Bakanlar Kurulu’na yönelik tavsiye mahiyetindedir. Bu kararlar, Bakanlar Kurulu tarafından erişilebilir ve bağlayıcı bir düzenleyici işleme dönüştürülmediği gibi, yaptırım gerektiren bir durum olarak da düzenlenmemiştir.</w:t>
      </w:r>
    </w:p>
    <w:p w14:paraId="68658B7B"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AİHS m. 8’de düzenlenen hakka müdahaleye imkân veren </w:t>
      </w:r>
      <w:r w:rsidRPr="00AE7BC3">
        <w:rPr>
          <w:rFonts w:eastAsia="Times New Roman" w:cs="Times New Roman"/>
          <w:b/>
          <w:bCs/>
          <w:szCs w:val="24"/>
          <w:lang w:val="tr-TR" w:eastAsia="tr-TR"/>
        </w:rPr>
        <w:t>bir düzenlemenin taşıması gereken temel koşullardan bir diğeri ise “öngörülebilirlik”tir</w:t>
      </w:r>
      <w:r w:rsidRPr="00AE7BC3">
        <w:rPr>
          <w:rFonts w:eastAsia="Times New Roman" w:cs="Times New Roman"/>
          <w:szCs w:val="24"/>
          <w:lang w:val="tr-TR" w:eastAsia="tr-TR"/>
        </w:rPr>
        <w:t xml:space="preserve">. “Erişilebilir” bir düzenleme yokluğunda o düzenlemenin “öngörülebilir” olup olmadığı değerlendirmesine gerek yoktur. Öngörülebilir olması ile kastedilen, düzenlemenin, ilgili şahsa davranışlarını düzenleme ve sonuçlarını </w:t>
      </w:r>
      <w:r w:rsidRPr="00AE7BC3">
        <w:rPr>
          <w:rFonts w:eastAsia="Times New Roman" w:cs="Times New Roman"/>
          <w:szCs w:val="24"/>
          <w:lang w:val="tr-TR" w:eastAsia="tr-TR"/>
        </w:rPr>
        <w:lastRenderedPageBreak/>
        <w:t xml:space="preserve">öngörebilmesine elverişli açıklık ve kesinlikte formüle edilmiş olmasıdır </w:t>
      </w:r>
      <w:r w:rsidRPr="00AE7BC3">
        <w:rPr>
          <w:rFonts w:eastAsia="Times New Roman" w:cs="Times New Roman"/>
          <w:szCs w:val="24"/>
          <w:lang w:val="tr-TR"/>
        </w:rPr>
        <w:t>(Sunday Times/Birleşik Krallık)</w:t>
      </w:r>
      <w:r w:rsidRPr="00AE7BC3">
        <w:rPr>
          <w:rFonts w:eastAsia="Times New Roman" w:cs="Times New Roman"/>
          <w:szCs w:val="24"/>
          <w:lang w:val="tr-TR" w:eastAsia="tr-TR"/>
        </w:rPr>
        <w:t>.</w:t>
      </w:r>
    </w:p>
    <w:p w14:paraId="1AA4D370"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Ancak, bir an için başvurucunun meslekten ihraç edildiği OHAL KHK’sının ‘erişilebilir’ olduğu kabul edildiğinde bile, bu düzenleme AİHM içtihatları uyarınca öngörülebilir nitelikte değildir. Zira öncelikle, söz konusu KHK kişilere, davranışları düzenlemelerine ve sonuçlarını öngörebilmelerine elverişli kesinlikte formüle edilmiş değildir. İstihbari birer kavram olan ve Türk hukuk sistemine ilk kez KHK’lar ile giren “iltisak ve irtibat” kavramlarının anlamları belirsiz olup bu kavramların kapsamını belirten yargı kararı dahi bulunmamaktaydı. Kişilerin ne tür davranış ya da sosyal ilişkilerinin ve hangi döneme, ne ölçüde uzak geçmişine dair veya hangi ilişki seviyesinden sonraki davranış ya da ilişkilerinin hangi objektif ölçütlere göre bu kavramların kapsamında değerlendirileceği ne KHK’da ne de başka bir mevzuatta ya da yargı içtihatlarında belirlenmemişti. Bu nedenle, başvurucunun çevresiyle sosyal ilişkilerini sürdürdüğü sırada, ileride mevzuata eklenecek içeriği belirsiz bu kavramlarla meslekten çıkarılabileceğini öngörebilmesi mümkün değildi. </w:t>
      </w:r>
    </w:p>
    <w:p w14:paraId="40503CCA"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AYM ve Danıştay, söz konusu kavramların yeterli hukuki belirlilik taşıdığını kabul etmiştir. Ancak bu kabul, KHK ile getirildikten yıllar sonra yalnızca Türk Dil Kurumu sözlüğünden yapılan alıntılarla açıklanmaya çalışılmış, bunun ötesinde herhangi bir gerekçe ortaya konulmamıştır. Bu kavramların ne önceki yargı kararlarında yer aldığı ne de sonradan mahkeme içtihatlarıyla somutlaştırıldığı söylenebilir. Nitekim aynı kurum ve kişilerle geçmişte yoğun ilişkileri bulunan hükümet yanlısı kişiler hakkında bu tür “deliller”in hiç kullanılmaması, normun belirsizliği nedeniyle keyfî yoruma ve seçmeci uygulamaya ne derece açık olduğunun göstergesidir. Sonuç olarak düzenleme, öngörülebilirlik ve hukukî güvenlik gereklerini karşılamayan, keyfiliğe açık bir çerçeve çizmektedir.</w:t>
      </w:r>
    </w:p>
    <w:p w14:paraId="6138E7B3"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 bir kamu görevlisi olarak Anayasa ve yasaların koruması altında bulunmaktaydı. Görevden uzaklaştırma ve çıkarma dahil olmak üzere, her türlü disiplin cezası verilmesine dair usulü teminatlar kanunla teminat altına alınmıştır. Meslekten çıkarılmasının dayanağını oluşturan OHAL KHK’sında izlenecek usulle ilgili herhangi bir düzenlemeye yer verilmemiştir. Hiçbir usulü güvence tanınmadan başvurucu hakkında meslekten çıkarılma yaptırımı uygulanmıştır. </w:t>
      </w:r>
    </w:p>
    <w:p w14:paraId="5F1DA175"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lastRenderedPageBreak/>
        <w:t>Bu sebeplerle, kişisel itibarı da dahil, başvurucunun özel yaşamına en ağır şekilde müdahale teşkil eden, dolayısıyla tüm mali ve özlük haklarından mahrumiyetine ve ağır manevi zarara uğramasına neden olan meslekten çıkarılmasının dayanağını oluşturan OHAL KHK’sı, AİHS’in 8/2. maddesinde öngörülen özel yaşam hakkına müdahaleye imkân veren bir yasanın taşıması gereken erişilebilirlik, öngörülebilirlik ve hukukun üstünlüğüne uyumlu olma kriterlerini taşımamaktadır. Dolayısıyla, müdahaleye dolayısıyla meslekten çıkarmaya dayanak bir kanunî düzenleme olarak kabul edilemez.</w:t>
      </w:r>
    </w:p>
    <w:p w14:paraId="0EC7E0C5"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Mesleki ya da özel yaşamına ait kişisel veri niteliğindeki fişleme bilgilerin, hakkında herhangi bir disiplin soruşturması olmaksızın toplanması, depolanması ve kullanılmasına ilişkin idareye kanunla verilen bir yetki ve görev bulunmamaktadır. Bu nedenle, özel yaşama müdahale teşkil eden bu işlemler de kanunla öngörülme kuralına aykırılık teşkil etmektedir. İdareye kanunlarla verilen özlük hakları ile ilgili karar alma yetkilerinin doğruluğu teyit edilmeyen her türlü bilgiyi toplama ve gizli dosyalarda arşivleme ve keyfilik riski içerecek şekilde, aksini kanıtlama imkânı sunmaksızın kullanma yetkisi verdiği biçimde yorumlanamaz. Bu konularda verilecek yetkilerin kullanımına ilişkin takdir yetkisinin kapsamı ve kullanım tarzı yeterince açık biçimde gösterilmelidir (Rotoru/Romanya; Molone/Birleşik Krallık kararı). Bu bağlamda mevzuatın, hangi bilgilerin hangi usulde toplanacağını da belirtmesi gerekmektedir. Bu haliyle idareye verilen takdir yetkisinin kullanımının kapsamı ve biçimi ile ilgili makul açıklıkta bir kanuni düzenleme bulunmamaktadır. </w:t>
      </w:r>
    </w:p>
    <w:p w14:paraId="2506A22F"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Başvurucunun meslekten çıkarılmasına dair kararının Resmî Gazete’de yayımlanmasının dayanağını 670 ve 673 sayılı KHK’ların ilgili hükümleri oluşturmaktadır. Meslekten çıkarılmaya dair KHK’lar, ekinde yer alan listeyle birlikte yayımlamıştır. İhraç kararının başvurucunun ismine listede yer vererek Resmî Gazetede yayınlanmasına dair bu düzenlemeler de ilave güvenceler öngörmediğinden hukukun üstünlüğüne aykırıdır. Nitekim idareye tanınan denetimsiz ve kontrolsüz, aynı zamanda her türlü sorumluluğu ortadan kaldıran yetkisini (667 sayılı KHK m.9) kullanması suretiyle hazırlanan meslekten çıkarma kararı, başvurucu da dahil listede isimleri yer alanları karalayıcı içerikli kaleme alınmış ve tüm muhatapların sürekli biçimde terörist ya da başka bir terör örgütü ile irtibatlı olarak damgalanmaları sonucunu doğurmuştur. Bu nedenle, hukukun üstünlüğü ilkesine açıkça aykırı bu düzenlemeler Resmî Gazete’de afişe edilmek ve </w:t>
      </w:r>
      <w:r w:rsidRPr="00AE7BC3">
        <w:rPr>
          <w:rFonts w:eastAsia="Times New Roman" w:cs="Times New Roman"/>
          <w:szCs w:val="24"/>
          <w:lang w:val="tr-TR" w:eastAsia="tr-TR"/>
        </w:rPr>
        <w:lastRenderedPageBreak/>
        <w:t xml:space="preserve">damgalanmak suretiyle itibar hakkına müdahale edilmesine imkân tanıdığından AİHS’in 8. maddesi anlamında bir “kanun” niteliği taşımamaktadır. </w:t>
      </w:r>
    </w:p>
    <w:p w14:paraId="0A88BCE5"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Başvurucunun özel hayatına yapılan </w:t>
      </w:r>
      <w:r w:rsidRPr="00AE7BC3">
        <w:rPr>
          <w:rFonts w:eastAsia="Times New Roman" w:cs="Times New Roman"/>
          <w:b/>
          <w:bCs/>
          <w:szCs w:val="24"/>
          <w:lang w:val="tr-TR" w:eastAsia="tr-TR"/>
        </w:rPr>
        <w:t>müdahalelerin meşru bir amacı da bulunmamaktadır.</w:t>
      </w:r>
      <w:r w:rsidRPr="00AE7BC3">
        <w:rPr>
          <w:rFonts w:eastAsia="Times New Roman" w:cs="Times New Roman"/>
          <w:szCs w:val="24"/>
          <w:lang w:val="tr-TR" w:eastAsia="tr-TR"/>
        </w:rPr>
        <w:t xml:space="preserve"> Başvurucunun görevinden çıkarıldığı KHK’da “</w:t>
      </w:r>
      <w:r w:rsidRPr="00AE7BC3">
        <w:rPr>
          <w:rFonts w:eastAsia="Times New Roman" w:cs="Times New Roman"/>
          <w:i/>
          <w:iCs/>
          <w:szCs w:val="24"/>
          <w:lang w:val="tr-TR" w:eastAsia="tr-TR"/>
        </w:rPr>
        <w:t>ülke genelinde ilan edilen olağanüstü hâl kapsamında, kamu personeline ilişkin bazı tedbirlerin alınmasının amaçlandığı</w:t>
      </w:r>
      <w:r w:rsidRPr="00AE7BC3">
        <w:rPr>
          <w:rFonts w:eastAsia="Times New Roman" w:cs="Times New Roman"/>
          <w:szCs w:val="24"/>
          <w:lang w:val="tr-TR" w:eastAsia="tr-TR"/>
        </w:rPr>
        <w:t>” belirtilmiş ancak bu tedbirlerin amacının ne olduğu açıklanmamıştır.</w:t>
      </w:r>
    </w:p>
    <w:p w14:paraId="3AC34C2C"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Başvurucuya yöneltilen soyut “irtibat ve iltisak” iddiaları, sadakat yükümlülüğüne aykırı olarak nitelendirilemez. Kamu görevlilerinin sadakat yükümlülüğü, hükümete veya belirli bir siyasi iktidara kişisel bağlılık anlamına gelmez; bu yükümlülük, hukukun üstünlüğüne, demokratik düzene ve kamu hizmetinin tarafsızlığına bağlılık olarak anlaşılmalıdır. Sadakat yükümlülüğünün kapsamı, kamu görevinin niteliğine göre dar veya geniş yorumlanabilir, ancak hiçbir durumda demokratik toplum düzeninin özünü zedeleyecek biçimde fikir, inanç veya ilişkilere dayalı keyfî bir değerlendirme aracı hâline getirilemez. Dolayısıyla, başvurucuya yöneltilen “irtibat ve iltisak” isnatları, hukuken belirli ve kanıtlanabilir bir temel taşımadığından, sadakat yükümlülüğünün ihlali olarak değerlendirilemez.</w:t>
      </w:r>
    </w:p>
    <w:p w14:paraId="714E098D"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Başvurucunun ByLock kullanıcısı olması iddiası da sadakat yükümlülüğüne aykırılık teşkil etmeyecektir. Hükümete göre bu program sadece cemaat üyeleri tarafından kullanılmaktadır. Bu noktada AİHM, ByLock kullanımının </w:t>
      </w:r>
      <w:r w:rsidRPr="00AE7BC3">
        <w:rPr>
          <w:rFonts w:eastAsia="Times New Roman" w:cs="Times New Roman"/>
          <w:i/>
          <w:iCs/>
          <w:szCs w:val="24"/>
          <w:lang w:val="tr-TR"/>
        </w:rPr>
        <w:t>prima facie</w:t>
      </w:r>
      <w:r w:rsidRPr="00AE7BC3">
        <w:rPr>
          <w:rFonts w:eastAsia="Times New Roman" w:cs="Times New Roman"/>
          <w:szCs w:val="24"/>
          <w:lang w:val="tr-TR"/>
        </w:rPr>
        <w:t xml:space="preserve"> (ilk bakışta) Gülen Hareketi ile bir tür bağlantıya işaret edebileceğini belirtmiştir (Yalçınkaya, § 259). Mesaj içerikleri ve bağlamları (Akgün, §173) incelenmeden, otomatik bir sadakate aykırılık karinesi oluşturmak (Yalçınkaya, mutadis mutandis, §§ 255-272) varmak hukuka aykırıdır. Başvurucunun ihracı anında ByLock programında paylaşılan sadakat yükümlülüğüne aykırılık teşkil eden bir bilgi bulunmadığı gibi sonrasında da böyle bir veri dosyaya eklenmemiştir.</w:t>
      </w:r>
    </w:p>
    <w:p w14:paraId="59D150B2"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Diğer taraftan, 15 Temmuz sonrası toplu meslekten çıkarmaların asıl amacının, bir sosyal gruba (Cemaate) mensup olduğu düşünülenlerin kamudan tasfiyesi olduğu açıktır. Cumhurbaşkanı, Adalet Bakanı ve HS(Y)K başkanvekili gibi en üst düzey yetkililer tarafından bu amacı açıkça belli eden beyanlarda bulunulmuştur. Oysaki herhangi bir sosyal veya dini topluluk içinde yer almak, yalnızca bir kimlik aidiyetinin göstergesidir. Söz konusu topluluk içinde suç işleyen kişilerin </w:t>
      </w:r>
      <w:r w:rsidRPr="00AE7BC3">
        <w:rPr>
          <w:rFonts w:eastAsia="Times New Roman" w:cs="Times New Roman"/>
          <w:szCs w:val="24"/>
          <w:lang w:val="tr-TR"/>
        </w:rPr>
        <w:lastRenderedPageBreak/>
        <w:t>bulunduğunun kabul edilmesinin, tüm topluluk mensuplarına kolektif sorumluluk yüklenmesini haklı kılmayacağı açıktır. Böyle bir yaklaşım, kimliğe dayalı tasfiyelere kapı aralayacak ve Sözleşme’nin sağladığı korumaları anlamsız hale getirecektir. Dolayısıyla başvurucunun yalnızca varsayılan bir aidiyete dayalı olarak kamu görevinden çıkarılmasını meşru bir amaç olarak kabul etmek mümkün değildir.</w:t>
      </w:r>
    </w:p>
    <w:p w14:paraId="4E119AD9"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Başvurucu, tüm mesleki yaşamı boyunca başarılı bir kariyere sahip olmuş, en iyi derecelerle terfi etmiştir. Özel ve mesleki yaşamında, mesleki kuralları ihlal edecek şekilde hareket ettiğine dair ne dışa yansıyan bir eylem ya da söylemi olmuştur. Hakkında herhangi bir disiplin ya da ceza soruşturması yürütülmemiştir. Buna rağmen, somut hiçbir gerekçe gösterilmeksizin meslekten çıkarılmıştır. Bu amaçla, kişisel veri niteliğindeki bilgileri, sistematik biçimde toplanmış ve meslekten çıkarılma kararı, masumiyet karinesine aykırı biçimde, Resmî Gazetede yayınlanmıştır. Bu suretle maddi/manevi bütünlüğüne, şerefine ve itibarına zarar verilmesinin objektif olarak meşru bir temeli bulunmamaktadır.</w:t>
      </w:r>
    </w:p>
    <w:p w14:paraId="146E5D0A"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Başvurucunun özel yaşamına yönelik bu müdahaleler, AİHS’in 8/2. maddesinde yer alan kanunla öngörülmesi şartı ile </w:t>
      </w:r>
      <w:r w:rsidRPr="00AE7BC3">
        <w:rPr>
          <w:rFonts w:eastAsia="Times New Roman" w:cs="Times New Roman"/>
          <w:b/>
          <w:bCs/>
          <w:szCs w:val="24"/>
          <w:lang w:val="tr-TR"/>
        </w:rPr>
        <w:t>meşru amaçlardan birini taşımamanın yanı sıra demokratik bir toplumda gerekli olma koşulunu da karşılamamaktadır</w:t>
      </w:r>
      <w:r w:rsidRPr="00AE7BC3">
        <w:rPr>
          <w:rFonts w:eastAsia="Times New Roman" w:cs="Times New Roman"/>
          <w:szCs w:val="24"/>
          <w:lang w:val="tr-TR"/>
        </w:rPr>
        <w:t>. Hükümet darbe girişimini cemaatin gerçekleştirdiğini iddia etmekte ve cemaatle irtibatlı olduğunu düşündüğü tüm kamu görevlilerinin ömür boyu kamu hizmetinden yasaklanmasını uygun bulmaktadır. Oysaki cemaatle bağlantılı olan ya da öyle olduğu iddia edilen sivil memur ve yargı mensuplarından darbeye karıştığı tespit edilen kimse olmamıştır. Askeri personel içinde de dahi darbeye fiilen katılanlarla ihraç edilen personel sayısı arasında aşırı bir orantısızlık söz konusudur. Darbe girişimini aydınlatması beklenen TBMM Darbe Komisyonu uzun süre çalışmış fakat nedeni açıklanmadan söz konusu komisyon raporu açıklanmamıştır. Dolaysıyla, darbe girişimi ve ihraç edilen yüzbinlerce kamu görevlisi arasında hiçbir bağ söz konusu değildir. Hükümetin ihraç politikasının demokratik toplumda gerekli görülebilecek meşru bir zemini yoktur.</w:t>
      </w:r>
    </w:p>
    <w:p w14:paraId="68F3F2D1"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AİHM içtihadına göre, bir müdahale “gerekli” sayılabilmesi için toplumsal ihtiyaç baskısına karşılık gelmeli ve izlenen amaçla orantılı olmalıdır (Nada/İsviçre). Ayrıca Mahkeme, daha az zararlı ama aynı amaca ulaşabilecek bir tedbir mümkünse ağır müdahaleyi kabul etmemektedir (Nada/İsviçre). AİHS m.8/2 </w:t>
      </w:r>
      <w:r w:rsidRPr="00AE7BC3">
        <w:rPr>
          <w:rFonts w:eastAsia="Times New Roman" w:cs="Times New Roman"/>
          <w:szCs w:val="24"/>
          <w:lang w:val="tr-TR" w:eastAsia="tr-TR"/>
        </w:rPr>
        <w:lastRenderedPageBreak/>
        <w:t>uyarınca, sadece maddi gerekçeler değil, usule ilişkin güvenceler de aranır. Karar alma süreci, başvurucunun haklarına saygı gösterecek nitelikte olmalı; savunma imkânı tanınmalı ve delillere erişim sağlanmalıdır (Buckley/Birleşik Krallık; Turek/Slovakya). AİHM, orantılılık açısından inceleme yaparken birey ile toplumun yarışan menfaatleri arasında adil dengenin kurulmuş olup olmadığına bakmaktadır. Bir müdahalenin orantılı olduğunun kabulü için, söz konusu temel hakka daha az zarar verebilecek ama aynı amaca ulaşılabilecek başka bir müdahaleye başvurma ihtimalinin olmaması gerekir (Nada/İsviçre kararı). Sözleşmenin 8/2. maddesindeki “gereklilik” şartının incelenmesinde mahkeme, sadece maddi yönden inceleme ile sınırlı kalmamakta usul şartlarını da değerlendirmektedir. Buna göre, karar alma [müdahale] sürecinin bu maddeyle (8. Madde) korunan menfaatlere gerekli saygıyı sağlayacak nitelikte ve usulî güvenceleri içermesi gerekmektedir. Bu süreç, ilgilinin 8. maddedeki haklarını, deliller ve kanıtlama konuları dahil, adil şartlarda savunabileceği etkili bir usul mevzuatının varlığını da gerektirir (Buckley/Birleşik Krallık; Turek/Slovakya kararı).</w:t>
      </w:r>
    </w:p>
    <w:p w14:paraId="71B71FE1"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Başvurucunun gerek özel gerekse mesleki yaşamındaki çalışma, davranış ve ilişkileri sebebiyle meslek kurallarını ihlal ettiğine dair en küçük bir şikayet veya disiplin soruşturması olmaksızın, yasal güvencelerine aykırı biçimde, savunma ve delillerini sunma hakkı verilmeksizin, bir daha hiçbir kamu hizmetinde görev yapamayacak şekilde, hakkında ne şekilde ve kimler tarafından doldurulan sosyal çevre bilgisi gibi doğruluğu teyit edilmemiş bilgilerle meslekten çıkarılması ve bu kararın damgalayıcı biçimde Resmi Gazetede yayınlanmasını gerektiren “toplumsal bir ihtiyaç baskısı” yoktur.</w:t>
      </w:r>
    </w:p>
    <w:p w14:paraId="194EE06B"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Başvurucunun meslekten çıkarılmasını meşru kılan delil yokluğu bir yana, açığa alıp usulüne uygun, olağan disiplin soruşturması sürecini işletme gibi, idarenin aynı sonuca ulaşmasını sağlayacak ve özel yaşamına daha az zarar verecek yöntemler izlemesi de mümkündü.</w:t>
      </w:r>
    </w:p>
    <w:p w14:paraId="02042F15"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Öte yandan </w:t>
      </w:r>
      <w:r w:rsidRPr="00AE7BC3">
        <w:rPr>
          <w:rFonts w:eastAsia="Times New Roman" w:cs="Times New Roman"/>
          <w:b/>
          <w:bCs/>
          <w:szCs w:val="24"/>
          <w:lang w:val="tr-TR" w:eastAsia="tr-TR"/>
        </w:rPr>
        <w:t>müdahale, sonuçları itibarıyla da ölçüsüzdür ve aşırıdır</w:t>
      </w:r>
      <w:r w:rsidRPr="00AE7BC3">
        <w:rPr>
          <w:rFonts w:eastAsia="Times New Roman" w:cs="Times New Roman"/>
          <w:szCs w:val="24"/>
          <w:lang w:val="tr-TR" w:eastAsia="tr-TR"/>
        </w:rPr>
        <w:t xml:space="preserve">. Başvurucu yalnızca mesleğinden çıkarılmamış, aynı zamanda ömür boyu tüm kamu görevlerinden yasaklanmıştır. Sosyal Güvenlik Kurumu kayıtlarındaki şerh nedeniyle kamudan ihraç edilenlerin özel sektörde iş bulması, fiilen neredeyse imkânsız hâle getirilmiştir. Ayrıca, kamu görevine girme hakkının ötesine geçen ve </w:t>
      </w:r>
      <w:r w:rsidRPr="00AE7BC3">
        <w:rPr>
          <w:rFonts w:eastAsia="Times New Roman" w:cs="Times New Roman"/>
          <w:szCs w:val="24"/>
          <w:lang w:val="tr-TR" w:eastAsia="tr-TR"/>
        </w:rPr>
        <w:lastRenderedPageBreak/>
        <w:t>sürekli genişleyen düzenlemeler, öğrenci yurdu kuruculuğundan özel güvenlik sektörüne, taşımacılıktan burslara kadar birçok alanı “irtibatlı/iltisaklı” olamama şartına bağlamış; böylece başvurucunun hayatının tüm alanlarını kuşatan bir yasak rejimi ortaya çıkmıştır. Kamu görevinden çıkarma, bu nedenle tek başına bir disiplin tedbiri olmaktan çıkmış, başvurucunun özel hayatını doğrudan etkileyen, sınırları belirsiz ve sürekli yenilenen orantısız bir yaptırıma dönüşmüştür.</w:t>
      </w:r>
      <w:r w:rsidRPr="00AE7BC3">
        <w:rPr>
          <w:rStyle w:val="DipnotBavurusu"/>
          <w:rFonts w:eastAsia="Times New Roman" w:cs="Times New Roman"/>
          <w:szCs w:val="24"/>
          <w:lang w:val="tr-TR"/>
        </w:rPr>
        <w:footnoteReference w:id="10"/>
      </w:r>
    </w:p>
    <w:p w14:paraId="758EF3AB"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Üstelik kamuya açık biçimde “terörist” olarak damgalanması, sosyal ilişkilerini tamamen bozmuş ve onu adeta sosyal ölüme mahkûm etmiştir. Başvurucunun meslekten çıkarılma kararının, içinde isminin de bulunduğu liste ile Resmî Gazetede yayınlanmasının da demokratik bir toplumda kabul edilebilir bir gerekçesi bulunmamaktadır. Bir an için kararın ivedilikle kesinleştirilmesi pratik ihtiyacı ile hareket edildiği kabul edilse bile, başvurucunun kişisel itibarında oluşturduğu kalıcı ve sürekli tahribat ile birlikte değerlendirildiğinde, bu amaca masumiyet karinesi ihlal edilmeksizin, başka yöntemlerle ulaşmak pekâlâ mümkün olabilirdi. </w:t>
      </w:r>
    </w:p>
    <w:p w14:paraId="0826EC6D"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Öte yandan, başvurucunun demokratik toplumda kabulü mümkün olmayan ölçüde orantısız mağduriyetine neden olan meslekten çıkarılmasına ilişkin süreç, 8. madde ile teminat altına alınan menfaatlerini koruyacak şekilde ve usulü güvencelere riayet edilerek işletilmemiştir. Bu karar alınırken, ne hakkındaki delil, bilgi ve belgelerden başvurucuyu haberdar edip savunma imkânı vermiş ne de aldığı meslekten çıkarma kararında kişiselleştirme yaparak karara dayanak delilleri etkin bir yeniden inceleme talebinde bulunabilmesi için başvurucuya bildirmiştir.</w:t>
      </w:r>
    </w:p>
    <w:p w14:paraId="5848BB08"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eastAsia="tr-TR"/>
        </w:rPr>
        <w:t xml:space="preserve">Başvurucunun meslekten çıkarılması, öncesinde aksini kanıtlama imkânı tanınmadan özel ve mesleki yaşamına ilişkin verilerin toplanıp kullanılması ve kararın Resmî Gazete’de yayımlanması suretiyle özel hayata yapılan müdahale, doğurduğu orantısız sonuçlar ve karar alma sürecinin keyfî müdahaleye karşı etkin koruma sağlamaması nedeniyle </w:t>
      </w:r>
      <w:r w:rsidRPr="00AE7BC3">
        <w:rPr>
          <w:rFonts w:eastAsia="Times New Roman" w:cs="Times New Roman"/>
          <w:b/>
          <w:bCs/>
          <w:szCs w:val="24"/>
          <w:lang w:val="tr-TR" w:eastAsia="tr-TR"/>
        </w:rPr>
        <w:t>demokratik toplum gereklerine aykırıdır</w:t>
      </w:r>
      <w:r w:rsidRPr="00AE7BC3">
        <w:rPr>
          <w:rFonts w:eastAsia="Times New Roman" w:cs="Times New Roman"/>
          <w:szCs w:val="24"/>
          <w:lang w:val="tr-TR" w:eastAsia="tr-TR"/>
        </w:rPr>
        <w:t>.</w:t>
      </w:r>
    </w:p>
    <w:p w14:paraId="793C0CE7"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 xml:space="preserve">Başvurucu, hükümetin uzun süre sempatiyle yaklaştığı bir grupla soyut “irtibat ve iltisak” iddiaları temelinde kamu görevinden çıkarılmıştır. Oysa bu yapıyla devlet arasındaki ilişkiler 2013 yılı sonuna kadar olumluydu; dolayısıyla bu döneme </w:t>
      </w:r>
      <w:r w:rsidRPr="00AE7BC3">
        <w:rPr>
          <w:rFonts w:eastAsia="Times New Roman" w:cs="Times New Roman"/>
          <w:szCs w:val="24"/>
          <w:lang w:val="tr-TR"/>
        </w:rPr>
        <w:lastRenderedPageBreak/>
        <w:t xml:space="preserve">ait olguların ihraç gerekçesi yapılması hükümetin makul olmayan yaklaşımı ile dahi çelişmektedir. </w:t>
      </w:r>
    </w:p>
    <w:p w14:paraId="0FC7E272"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Başvurucunun şiddet, darbe veya hukuka aykırı eylemleri desteklediğine dair hiçbir delil yoktur; mesleki performansı yüksek, düzenli terfiler almış ve olumlu sicile sahiptir ve meslek yaşamı boyunca hiçbir şikâyet veya disiplin soruşturması geçirmemiştir. Kamu görevlisinin hükümet politikalarıyla aynı görüşte olmaması veya hükümetin olumsuz değerlendirmesine konu bir yapıyla geçmişte temasının bulunması, tek başına sadakat yükümlülüğünün ihlali olarak yorumlanamaz. Nitekim kamu görevlisinin sadakati, belirli bir hükümete ya da siyasi yönetime değil, anayasal düzene, demokratik değerlere ve hukukun üstünlüğüne yöneliktir (Bkz</w:t>
      </w:r>
      <w:r w:rsidRPr="00AE7BC3">
        <w:rPr>
          <w:rFonts w:eastAsia="Times New Roman" w:cs="Times New Roman"/>
          <w:i/>
          <w:iCs/>
          <w:szCs w:val="24"/>
          <w:lang w:val="tr-TR"/>
        </w:rPr>
        <w:t>. Vogt</w:t>
      </w:r>
      <w:r w:rsidRPr="00AE7BC3">
        <w:rPr>
          <w:rFonts w:eastAsia="Times New Roman" w:cs="Times New Roman"/>
          <w:szCs w:val="24"/>
          <w:lang w:val="tr-TR"/>
        </w:rPr>
        <w:t xml:space="preserve">; </w:t>
      </w:r>
      <w:r w:rsidRPr="00AE7BC3">
        <w:rPr>
          <w:rFonts w:eastAsia="Times New Roman" w:cs="Times New Roman"/>
          <w:i/>
          <w:iCs/>
          <w:szCs w:val="24"/>
          <w:lang w:val="tr-TR"/>
        </w:rPr>
        <w:t>Baka</w:t>
      </w:r>
      <w:r w:rsidRPr="00AE7BC3">
        <w:rPr>
          <w:rFonts w:eastAsia="Times New Roman" w:cs="Times New Roman"/>
          <w:szCs w:val="24"/>
          <w:lang w:val="tr-TR"/>
        </w:rPr>
        <w:t xml:space="preserve">; </w:t>
      </w:r>
      <w:r w:rsidRPr="00AE7BC3">
        <w:rPr>
          <w:rFonts w:eastAsia="Times New Roman" w:cs="Times New Roman"/>
          <w:i/>
          <w:iCs/>
          <w:szCs w:val="24"/>
          <w:lang w:val="tr-TR"/>
        </w:rPr>
        <w:t>Bilgin</w:t>
      </w:r>
      <w:r w:rsidRPr="00AE7BC3">
        <w:rPr>
          <w:rFonts w:eastAsia="Times New Roman" w:cs="Times New Roman"/>
          <w:szCs w:val="24"/>
          <w:lang w:val="tr-TR"/>
        </w:rPr>
        <w:t>). Anayasa’nın 70. maddesi kamu hizmetine girme hakkını güvence altına almıştır; KHK yoluyla yürütülen toplu ihraç politikası bu hakkı keyfi biçimde ortadan kaldırmıştır. Başvurucuya yöneltilen soyut iddialar bireyselleştirilmemiş, somut kanıtla desteklenmemiştir; bu nedenle ihraç işlemi demokratik bir toplumda gerekli olmayan, meşru amaçtan yoksun ve orantısız bir müdahaledir.</w:t>
      </w:r>
    </w:p>
    <w:p w14:paraId="0246F1E1" w14:textId="77777777" w:rsidR="00AE7BC3" w:rsidRPr="00AE7BC3" w:rsidRDefault="00AE7BC3" w:rsidP="00AE7BC3">
      <w:pPr>
        <w:pStyle w:val="ListeParagraf"/>
        <w:numPr>
          <w:ilvl w:val="0"/>
          <w:numId w:val="1"/>
        </w:numPr>
        <w:tabs>
          <w:tab w:val="left" w:pos="426"/>
        </w:tabs>
        <w:spacing w:before="0" w:after="0" w:line="360" w:lineRule="auto"/>
        <w:ind w:left="0" w:firstLine="0"/>
        <w:rPr>
          <w:rFonts w:eastAsia="Times New Roman" w:cs="Times New Roman"/>
          <w:szCs w:val="24"/>
          <w:lang w:val="tr-TR"/>
        </w:rPr>
      </w:pPr>
      <w:r w:rsidRPr="00AE7BC3">
        <w:rPr>
          <w:rFonts w:eastAsia="Times New Roman" w:cs="Times New Roman"/>
          <w:szCs w:val="24"/>
          <w:lang w:val="tr-TR"/>
        </w:rPr>
        <w:t>AİHS’in 15. maddesi uyarınca olağanüstü koşullarda bazı kısıtlamalar öngörülebilse de başvurucu, hukuka aykırı hiçbir eylemi bulunmayan ve 15 Temmuz kalkışması ile hiçbir ilgisi olmayan, bu yönde bir iddia dahi ileri sürülmeyen, bir kamu görevlisidir. Buna rağmen, mesnetsiz şekilde anayasal düzene sadakat yükümlülüğünü yitirdiği kabul edilerek meslekten çıkarılmıştır; bu tedbir ne AİHS’in 8. maddesi bakımından gerekli ve orantılıdır ne de 15. madde kapsamında “durumun gerektirdiği” ölçüdedir</w:t>
      </w:r>
      <w:r w:rsidRPr="00AE7BC3">
        <w:rPr>
          <w:rFonts w:eastAsia="Times New Roman" w:cs="Times New Roman"/>
          <w:szCs w:val="24"/>
          <w:lang w:val="tr-TR" w:eastAsia="tr-TR"/>
        </w:rPr>
        <w:t>.</w:t>
      </w:r>
    </w:p>
    <w:p w14:paraId="76B9FCA2" w14:textId="77777777" w:rsidR="00AE7BC3" w:rsidRPr="00AE7BC3" w:rsidRDefault="00AE7BC3" w:rsidP="00AE7BC3">
      <w:pPr>
        <w:pStyle w:val="Balk2"/>
        <w:rPr>
          <w:rFonts w:cs="Times New Roman"/>
          <w:szCs w:val="24"/>
        </w:rPr>
      </w:pPr>
      <w:r w:rsidRPr="00AE7BC3">
        <w:rPr>
          <w:rFonts w:cs="Times New Roman"/>
          <w:szCs w:val="24"/>
        </w:rPr>
        <w:t>AİHS'ne Ek 1 No'lu Protokol m. 1- Mülkiyet hakkı ihlal edilmiştir.</w:t>
      </w:r>
    </w:p>
    <w:p w14:paraId="581DC006"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 xml:space="preserve">AİHM içtihatlarına göre, kamu görevlilerinin maaşları, emeklilik hakları, tazminat alacakları 1 No’lu Ek Protokolün 1. maddesi kapsamında “mülk” olarak değerlendirilmektedir (Örneğin Kjartan Ásmundsson/İzlanda no. 60669/00, 12.10.2004 § 39; Müller/Avusturya, no. 5849/72, 01.10.1975; Kechko/Ukraine, no. 63134/00, 08.112005). AİHM, </w:t>
      </w:r>
      <w:r w:rsidRPr="00AE7BC3">
        <w:rPr>
          <w:rFonts w:cs="Times New Roman"/>
          <w:i/>
          <w:iCs/>
          <w:szCs w:val="24"/>
          <w:lang w:val="tr-TR"/>
        </w:rPr>
        <w:t>Kjartan Ásmundsson</w:t>
      </w:r>
      <w:r w:rsidRPr="00AE7BC3">
        <w:rPr>
          <w:rFonts w:cs="Times New Roman"/>
          <w:szCs w:val="24"/>
          <w:lang w:val="tr-TR"/>
        </w:rPr>
        <w:t xml:space="preserve"> kararında, sosyal güvenlik veya kamu görevliliği statüsünden doğan hakların, kamu yararı gerekçesiyle tamamen ortadan kaldırılması hâlinde “adil denge”nin bozulduğunu ve bireye “aşırı ve orantısız bir yük” yüklendiğini belirtmiştir. Mahkeme, reform niteliğindeki yasal </w:t>
      </w:r>
      <w:r w:rsidRPr="00AE7BC3">
        <w:rPr>
          <w:rFonts w:cs="Times New Roman"/>
          <w:szCs w:val="24"/>
          <w:lang w:val="tr-TR"/>
        </w:rPr>
        <w:lastRenderedPageBreak/>
        <w:t>değişikliklerin bile, kazanılmış hakların özünü ortadan kaldıracak ölçüde uygulanamayacağını vurgulamıştır.</w:t>
      </w:r>
    </w:p>
    <w:p w14:paraId="085C899D" w14:textId="77777777" w:rsidR="00AE7BC3" w:rsidRPr="00AE7BC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Başvurucu yönünden, aylık maaşı yalnızca geleceğe dönük bir meşru beklenti değil; mevzuata uygun şekilde kazanılmış, düzenli ve sürekli nitelikte bir mülkiyet hakkıdır. Başvurucunun meslekten çıkarılmasıyla bu mülkiyet hakkına yapılan müdahale, kanunilik, öngörülebilirlik ve orantılılık ilkelerini ihlal etmiştir. KHK ile getirilen hükümler, geçmişteki varsayılan “irtibat veya iltisak” gerekçelerine dayanarak uygulanmış, başvurucunun bunu önceden öngörme imkânı bulunmamıştır. Ayrıca “irtibat” ve “iltisak” kavramları açık kriterlere dayanmamakta; hukuki belirlilikten yoksun, keyfî yorumlara müsait niteliktedir. Bu durum, mülkiyet hakkına yapılan müdahaleyi hem keyfî hem de orantısız hâle getirmiştir. İlgili düzenlemeler, bu keyfilikleri giderecek etkili mekanizmalar içermemektedir.</w:t>
      </w:r>
    </w:p>
    <w:p w14:paraId="0CB91608" w14:textId="4076D7C2" w:rsidR="00492203" w:rsidRDefault="00AE7BC3" w:rsidP="00AE7BC3">
      <w:pPr>
        <w:pStyle w:val="ListeParagraf"/>
        <w:numPr>
          <w:ilvl w:val="0"/>
          <w:numId w:val="1"/>
        </w:numPr>
        <w:tabs>
          <w:tab w:val="left" w:pos="426"/>
        </w:tabs>
        <w:spacing w:before="0" w:after="0" w:line="360" w:lineRule="auto"/>
        <w:ind w:left="0" w:firstLine="0"/>
        <w:rPr>
          <w:rFonts w:cs="Times New Roman"/>
          <w:szCs w:val="24"/>
          <w:lang w:val="tr-TR"/>
        </w:rPr>
      </w:pPr>
      <w:r w:rsidRPr="00AE7BC3">
        <w:rPr>
          <w:rFonts w:cs="Times New Roman"/>
          <w:szCs w:val="24"/>
          <w:lang w:val="tr-TR"/>
        </w:rPr>
        <w:t>Başvurucunun mülkiyet hakkına yapılan bu müdahale, kamu hizmetlerinden süresiz menedilmesi, sosyal güvenlik sisteminde “SGK kaydı” üzerinden özel sektörde çalışmasının da engellenmesiyle birleştiğinde, “aşırı ve orantısız yük” ölçütünü fazlasıyla aşmaktadır. Ulaşılmak istenen amaca, başvurucunun kazanılmış haklarını tamamen ortadan kaldırmadan, daha hafif tedbirlerle ulaşmak mümkündü. Örneğin başvurucu geçici olarak açığa alınabilir, yargılama süresince maaşının bir kısmını almaya devam edebilirdi. Benzer şekilde, önceki hizmetleri dikkate alınarak zorunlu emeklilik veya kısmi maaş kesintisi gibi yöntemlerle hem kamu yararı hem de bireyin mülkiyet hakkı arasında adil bir denge sağlanabilirdi.</w:t>
      </w:r>
    </w:p>
    <w:p w14:paraId="29D6DBC3" w14:textId="77777777" w:rsidR="00FD247A" w:rsidRDefault="00FD247A" w:rsidP="00FD247A">
      <w:pPr>
        <w:tabs>
          <w:tab w:val="left" w:pos="426"/>
        </w:tabs>
        <w:spacing w:before="0" w:after="0" w:line="360" w:lineRule="auto"/>
        <w:rPr>
          <w:rFonts w:cs="Times New Roman"/>
          <w:szCs w:val="24"/>
          <w:lang w:val="tr-TR"/>
        </w:rPr>
      </w:pPr>
    </w:p>
    <w:p w14:paraId="630B129C" w14:textId="1AD5A281" w:rsidR="00FD247A" w:rsidRPr="00FD247A" w:rsidRDefault="00FD247A" w:rsidP="00FD247A">
      <w:pPr>
        <w:tabs>
          <w:tab w:val="left" w:pos="426"/>
        </w:tabs>
        <w:spacing w:before="0" w:after="0" w:line="360" w:lineRule="auto"/>
        <w:rPr>
          <w:rFonts w:cs="Times New Roman"/>
          <w:b/>
          <w:bCs/>
          <w:color w:val="EE0000"/>
          <w:szCs w:val="24"/>
          <w:lang w:val="tr-TR"/>
        </w:rPr>
      </w:pPr>
      <w:r w:rsidRPr="00FD247A">
        <w:rPr>
          <w:rFonts w:cs="Times New Roman"/>
          <w:b/>
          <w:bCs/>
          <w:color w:val="EE0000"/>
          <w:szCs w:val="24"/>
          <w:lang w:val="tr-TR"/>
        </w:rPr>
        <w:t>NOT:</w:t>
      </w:r>
      <w:r>
        <w:rPr>
          <w:rFonts w:cs="Times New Roman"/>
          <w:b/>
          <w:bCs/>
          <w:color w:val="EE0000"/>
          <w:szCs w:val="24"/>
          <w:lang w:val="tr-TR"/>
        </w:rPr>
        <w:t xml:space="preserve"> Başvuru formuna ek açıklamalar en fazla 20 sayfa olabilir. Daha fazla açıklama yapma ihtiyacı olursa bu husus gözetilerek yapılmalıdır. Sayfa kenar boşlukları bu metindeki gibi olmalıdır.</w:t>
      </w:r>
    </w:p>
    <w:sectPr w:rsidR="00FD247A" w:rsidRPr="00FD247A" w:rsidSect="00AE7BC3">
      <w:footerReference w:type="default" r:id="rId8"/>
      <w:pgSz w:w="11906" w:h="16838"/>
      <w:pgMar w:top="1531" w:right="1985" w:bottom="153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2359" w14:textId="77777777" w:rsidR="00627FC4" w:rsidRDefault="00627FC4" w:rsidP="0047221A">
      <w:pPr>
        <w:spacing w:before="0" w:after="0" w:line="240" w:lineRule="auto"/>
      </w:pPr>
      <w:r>
        <w:separator/>
      </w:r>
    </w:p>
  </w:endnote>
  <w:endnote w:type="continuationSeparator" w:id="0">
    <w:p w14:paraId="5AE7875A" w14:textId="77777777" w:rsidR="00627FC4" w:rsidRDefault="00627FC4" w:rsidP="004722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BE3B" w14:textId="55A79950" w:rsidR="0047221A" w:rsidRDefault="0047221A" w:rsidP="0047221A">
    <w:pPr>
      <w:pStyle w:val="AltBilgi"/>
      <w:jc w:val="center"/>
    </w:pPr>
    <w:r>
      <w:fldChar w:fldCharType="begin"/>
    </w:r>
    <w:r>
      <w:instrText xml:space="preserve"> PAGE  \* Arabic  \* MERGEFORMAT </w:instrText>
    </w:r>
    <w:r>
      <w:fldChar w:fldCharType="separate"/>
    </w:r>
    <w:r>
      <w:rPr>
        <w:noProof/>
      </w:rPr>
      <w:t>1</w:t>
    </w:r>
    <w:r>
      <w:fldChar w:fldCharType="end"/>
    </w:r>
    <w:r>
      <w:t xml:space="preserve"> | </w:t>
    </w:r>
    <w:fldSimple w:instr=" NUMPAGES  \* Arabic  \* MERGEFORMAT ">
      <w:r>
        <w:rPr>
          <w:noProof/>
        </w:rPr>
        <w:t>15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26272" w14:textId="77777777" w:rsidR="00627FC4" w:rsidRDefault="00627FC4" w:rsidP="0047221A">
      <w:pPr>
        <w:spacing w:before="0" w:after="0" w:line="240" w:lineRule="auto"/>
      </w:pPr>
      <w:r>
        <w:separator/>
      </w:r>
    </w:p>
  </w:footnote>
  <w:footnote w:type="continuationSeparator" w:id="0">
    <w:p w14:paraId="3606B4BB" w14:textId="77777777" w:rsidR="00627FC4" w:rsidRDefault="00627FC4" w:rsidP="0047221A">
      <w:pPr>
        <w:spacing w:before="0" w:after="0" w:line="240" w:lineRule="auto"/>
      </w:pPr>
      <w:r>
        <w:continuationSeparator/>
      </w:r>
    </w:p>
  </w:footnote>
  <w:footnote w:id="1">
    <w:p w14:paraId="70E8B3CD" w14:textId="621FE791" w:rsidR="00AE7BC3" w:rsidRPr="00D73977" w:rsidRDefault="00AE7BC3" w:rsidP="00D73977">
      <w:pPr>
        <w:pStyle w:val="DipnotMetni"/>
        <w:ind w:left="567" w:hanging="567"/>
        <w:jc w:val="both"/>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00D73977" w:rsidRPr="00D73977">
        <w:rPr>
          <w:rFonts w:ascii="Times New Roman" w:hAnsi="Times New Roman" w:cs="Times New Roman"/>
        </w:rPr>
        <w:tab/>
      </w:r>
      <w:hyperlink r:id="rId1" w:history="1">
        <w:r w:rsidR="00D73977" w:rsidRPr="00D73977">
          <w:rPr>
            <w:rStyle w:val="Kpr"/>
            <w:rFonts w:ascii="Times New Roman" w:hAnsi="Times New Roman" w:cs="Times New Roman"/>
          </w:rPr>
          <w:t>http://www.ab.gov.tr/files/5%20Ekim/son__2016_ilerleme_raporu_tr.pdf</w:t>
        </w:r>
      </w:hyperlink>
      <w:r w:rsidRPr="00D73977">
        <w:rPr>
          <w:rFonts w:ascii="Times New Roman" w:hAnsi="Times New Roman" w:cs="Times New Roman"/>
        </w:rPr>
        <w:t xml:space="preserve"> </w:t>
      </w:r>
    </w:p>
    <w:p w14:paraId="2A46BDA7" w14:textId="77777777" w:rsidR="00AE7BC3" w:rsidRPr="00D73977" w:rsidRDefault="00AE7BC3" w:rsidP="00D73977">
      <w:pPr>
        <w:pStyle w:val="DipnotMetni"/>
        <w:ind w:left="567"/>
        <w:jc w:val="both"/>
        <w:rPr>
          <w:rFonts w:ascii="Times New Roman" w:hAnsi="Times New Roman" w:cs="Times New Roman"/>
        </w:rPr>
      </w:pPr>
      <w:r w:rsidRPr="00D73977">
        <w:rPr>
          <w:rFonts w:ascii="Times New Roman" w:hAnsi="Times New Roman" w:cs="Times New Roman"/>
        </w:rPr>
        <w:t>Türkiye’de yargı bağımsızlığı sorununa dair çok sayıda güvenilir rapordan bazılarına aşağıdaki linklerden ulaşılabilir:</w:t>
      </w:r>
    </w:p>
    <w:p w14:paraId="76E68502" w14:textId="77777777" w:rsidR="00AE7BC3" w:rsidRPr="00D73977" w:rsidRDefault="00AE7BC3" w:rsidP="00D73977">
      <w:pPr>
        <w:pStyle w:val="DipnotMetni"/>
        <w:ind w:left="567"/>
        <w:jc w:val="both"/>
        <w:rPr>
          <w:rFonts w:ascii="Times New Roman" w:hAnsi="Times New Roman" w:cs="Times New Roman"/>
          <w:lang w:val="en-GB"/>
        </w:rPr>
      </w:pPr>
      <w:r w:rsidRPr="00D73977">
        <w:rPr>
          <w:rFonts w:ascii="Times New Roman" w:hAnsi="Times New Roman" w:cs="Times New Roman"/>
          <w:lang w:val="en-GB"/>
        </w:rPr>
        <w:t xml:space="preserve">International Commission of Jurist (ICJ), ‘Turkey: the Judicial System in Peril: A briefing paper’, 2016, </w:t>
      </w:r>
      <w:hyperlink r:id="rId2" w:history="1">
        <w:r w:rsidRPr="00D73977">
          <w:rPr>
            <w:rStyle w:val="Kpr"/>
            <w:rFonts w:ascii="Times New Roman" w:hAnsi="Times New Roman" w:cs="Times New Roman"/>
            <w:lang w:val="en-GB"/>
          </w:rPr>
          <w:t>https://www.icj.org/wp-content/uploads/2016/07/Turkey-Judiciary-in-Peril-Publications-Reports-Fact-Findings-Mission-Reports-2016-ENG.pdf</w:t>
        </w:r>
      </w:hyperlink>
      <w:r w:rsidRPr="00D73977">
        <w:rPr>
          <w:rFonts w:ascii="Times New Roman" w:hAnsi="Times New Roman" w:cs="Times New Roman"/>
          <w:lang w:val="en-GB"/>
        </w:rPr>
        <w:t xml:space="preserve"> </w:t>
      </w:r>
    </w:p>
    <w:p w14:paraId="048999A9" w14:textId="77777777" w:rsidR="00AE7BC3" w:rsidRPr="00D73977" w:rsidRDefault="00AE7BC3" w:rsidP="00D73977">
      <w:pPr>
        <w:pStyle w:val="DipnotMetni"/>
        <w:ind w:left="567"/>
        <w:jc w:val="both"/>
        <w:rPr>
          <w:rFonts w:ascii="Times New Roman" w:hAnsi="Times New Roman" w:cs="Times New Roman"/>
          <w:lang w:val="en-GB"/>
        </w:rPr>
      </w:pPr>
      <w:r w:rsidRPr="00D73977">
        <w:rPr>
          <w:rFonts w:ascii="Times New Roman" w:hAnsi="Times New Roman" w:cs="Times New Roman"/>
          <w:lang w:val="en-GB"/>
        </w:rPr>
        <w:t xml:space="preserve">Venice Commission Opinion No. 875/2017, </w:t>
      </w:r>
      <w:hyperlink r:id="rId3" w:history="1">
        <w:r w:rsidRPr="00D73977">
          <w:rPr>
            <w:rStyle w:val="Kpr"/>
            <w:rFonts w:ascii="Times New Roman" w:hAnsi="Times New Roman" w:cs="Times New Roman"/>
            <w:lang w:val="en-GB"/>
          </w:rPr>
          <w:t>https://www.venice.coe.int/webforms/documents/default.aspx?pdffile=CDL-AD(2017)005-e</w:t>
        </w:r>
      </w:hyperlink>
    </w:p>
    <w:p w14:paraId="2DD8ACA8" w14:textId="77777777" w:rsidR="00AE7BC3" w:rsidRPr="00D73977" w:rsidRDefault="00AE7BC3" w:rsidP="00D73977">
      <w:pPr>
        <w:pStyle w:val="DipnotMetni"/>
        <w:ind w:left="567"/>
        <w:jc w:val="both"/>
        <w:rPr>
          <w:rFonts w:ascii="Times New Roman" w:hAnsi="Times New Roman" w:cs="Times New Roman"/>
          <w:lang w:val="en-GB"/>
        </w:rPr>
      </w:pPr>
      <w:r w:rsidRPr="00D73977">
        <w:rPr>
          <w:rFonts w:ascii="Times New Roman" w:hAnsi="Times New Roman" w:cs="Times New Roman"/>
          <w:lang w:val="en-GB"/>
        </w:rPr>
        <w:t>International Commission of Jurist (ICJ), ‘</w:t>
      </w:r>
      <w:r w:rsidRPr="00D73977">
        <w:rPr>
          <w:rFonts w:ascii="Times New Roman" w:hAnsi="Times New Roman" w:cs="Times New Roman"/>
        </w:rPr>
        <w:t>Askıya alınan adalet: Adalete Erişim ve Türkiye’ de Olağanüstü Hal’</w:t>
      </w:r>
      <w:r w:rsidRPr="00D73977">
        <w:rPr>
          <w:rFonts w:ascii="Times New Roman" w:hAnsi="Times New Roman" w:cs="Times New Roman"/>
          <w:lang w:val="en-GB"/>
        </w:rPr>
        <w:t xml:space="preserve">, 2018, </w:t>
      </w:r>
      <w:hyperlink r:id="rId4" w:history="1">
        <w:r w:rsidRPr="00D73977">
          <w:rPr>
            <w:rStyle w:val="Kpr"/>
            <w:rFonts w:ascii="Times New Roman" w:hAnsi="Times New Roman" w:cs="Times New Roman"/>
            <w:lang w:val="en-GB"/>
          </w:rPr>
          <w:t>https://www.icj.org/wp-content/uploads/2018/12/Turkey-Access-to-justice-Publications-Reports-2018-TUR.pdf?utm</w:t>
        </w:r>
      </w:hyperlink>
      <w:r w:rsidRPr="00D73977">
        <w:rPr>
          <w:rFonts w:ascii="Times New Roman" w:hAnsi="Times New Roman" w:cs="Times New Roman"/>
          <w:lang w:val="en-GB"/>
        </w:rPr>
        <w:t xml:space="preserve"> </w:t>
      </w:r>
    </w:p>
    <w:p w14:paraId="6C646EB6" w14:textId="77777777" w:rsidR="00AE7BC3" w:rsidRPr="00D73977" w:rsidRDefault="00AE7BC3" w:rsidP="00D73977">
      <w:pPr>
        <w:pStyle w:val="DipnotMetni"/>
        <w:ind w:left="567"/>
        <w:jc w:val="both"/>
        <w:rPr>
          <w:rFonts w:ascii="Times New Roman" w:hAnsi="Times New Roman" w:cs="Times New Roman"/>
          <w:lang w:val="en-GB"/>
        </w:rPr>
      </w:pPr>
      <w:r w:rsidRPr="00D73977">
        <w:rPr>
          <w:rFonts w:ascii="Times New Roman" w:hAnsi="Times New Roman" w:cs="Times New Roman"/>
          <w:lang w:val="en-GB"/>
        </w:rPr>
        <w:t xml:space="preserve">Commissioner For Human Rights of the Council Of Europe, Report Following her Visit to Turkey from 1 to 5 July 2019, 2020, </w:t>
      </w:r>
      <w:hyperlink r:id="rId5" w:history="1">
        <w:r w:rsidRPr="00D73977">
          <w:rPr>
            <w:rStyle w:val="Kpr"/>
            <w:rFonts w:ascii="Times New Roman" w:hAnsi="Times New Roman" w:cs="Times New Roman"/>
            <w:lang w:val="en-GB"/>
          </w:rPr>
          <w:t>https://rm.coe.int/report-on-the-visit-to-turkey-by-dunja-mijatovic-council-of-europe-com/168099823e</w:t>
        </w:r>
      </w:hyperlink>
      <w:r w:rsidRPr="00D73977">
        <w:rPr>
          <w:rFonts w:ascii="Times New Roman" w:hAnsi="Times New Roman" w:cs="Times New Roman"/>
          <w:lang w:val="en-GB"/>
        </w:rPr>
        <w:t xml:space="preserve"> </w:t>
      </w:r>
    </w:p>
    <w:p w14:paraId="63F83978" w14:textId="77777777" w:rsidR="00AE7BC3" w:rsidRPr="00D73977" w:rsidRDefault="00AE7BC3" w:rsidP="00D73977">
      <w:pPr>
        <w:pStyle w:val="DipnotMetni"/>
        <w:ind w:left="567"/>
        <w:jc w:val="both"/>
        <w:rPr>
          <w:rFonts w:ascii="Times New Roman" w:hAnsi="Times New Roman" w:cs="Times New Roman"/>
          <w:lang w:val="en-GB"/>
        </w:rPr>
      </w:pPr>
      <w:r w:rsidRPr="00D73977">
        <w:rPr>
          <w:rFonts w:ascii="Times New Roman" w:hAnsi="Times New Roman" w:cs="Times New Roman"/>
          <w:lang w:val="en-GB"/>
        </w:rPr>
        <w:t xml:space="preserve">Transparency International, ‘Examining State Capture Undue Influence on Law-Making and the Judiciary in the Western Balkans and Turkey’, 2020, </w:t>
      </w:r>
      <w:hyperlink r:id="rId6" w:history="1">
        <w:r w:rsidRPr="00D73977">
          <w:rPr>
            <w:rStyle w:val="Kpr"/>
            <w:rFonts w:ascii="Times New Roman" w:hAnsi="Times New Roman" w:cs="Times New Roman"/>
            <w:lang w:val="en-GB"/>
          </w:rPr>
          <w:t>https://images.transparencycdn.org/images/2020_Report_ExaminingStateCapture_English.pdf</w:t>
        </w:r>
      </w:hyperlink>
      <w:r w:rsidRPr="00D73977">
        <w:rPr>
          <w:rFonts w:ascii="Times New Roman" w:hAnsi="Times New Roman" w:cs="Times New Roman"/>
          <w:lang w:val="en-GB"/>
        </w:rPr>
        <w:t xml:space="preserve"> </w:t>
      </w:r>
    </w:p>
    <w:p w14:paraId="44C1AC73" w14:textId="77777777" w:rsidR="00AE7BC3" w:rsidRPr="00D73977" w:rsidRDefault="00AE7BC3" w:rsidP="00D73977">
      <w:pPr>
        <w:pStyle w:val="DipnotMetni"/>
        <w:ind w:left="567"/>
        <w:jc w:val="both"/>
        <w:rPr>
          <w:rFonts w:ascii="Times New Roman" w:hAnsi="Times New Roman" w:cs="Times New Roman"/>
          <w:lang w:val="en-GB"/>
        </w:rPr>
      </w:pPr>
      <w:r w:rsidRPr="00D73977">
        <w:rPr>
          <w:rFonts w:ascii="Times New Roman" w:hAnsi="Times New Roman" w:cs="Times New Roman"/>
          <w:lang w:val="en-GB"/>
        </w:rPr>
        <w:t xml:space="preserve">Venice Commission Opinion No. 1196/2024, </w:t>
      </w:r>
      <w:hyperlink r:id="rId7" w:history="1">
        <w:r w:rsidRPr="00D73977">
          <w:rPr>
            <w:rStyle w:val="Kpr"/>
            <w:rFonts w:ascii="Times New Roman" w:hAnsi="Times New Roman" w:cs="Times New Roman"/>
            <w:lang w:val="en-GB"/>
          </w:rPr>
          <w:t>https://www.venice.coe.int/webforms/documents/default.aspx?pdffile=CDL-AD(2024)041-e</w:t>
        </w:r>
      </w:hyperlink>
    </w:p>
  </w:footnote>
  <w:footnote w:id="2">
    <w:p w14:paraId="55019B48" w14:textId="38CBC1BE" w:rsidR="00AE7BC3" w:rsidRPr="00D73977" w:rsidRDefault="00AE7BC3" w:rsidP="00D73977">
      <w:pPr>
        <w:pStyle w:val="DipnotMetni"/>
        <w:ind w:left="567" w:hanging="567"/>
        <w:jc w:val="both"/>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00D73977" w:rsidRPr="00D73977">
        <w:rPr>
          <w:rFonts w:ascii="Times New Roman" w:hAnsi="Times New Roman" w:cs="Times New Roman"/>
        </w:rPr>
        <w:tab/>
      </w:r>
      <w:hyperlink r:id="rId8" w:history="1">
        <w:r w:rsidR="00D73977" w:rsidRPr="00D73977">
          <w:rPr>
            <w:rStyle w:val="Kpr"/>
            <w:rFonts w:ascii="Times New Roman" w:hAnsi="Times New Roman" w:cs="Times New Roman"/>
          </w:rPr>
          <w:t>https://www.aa.com.tr/tr/turkiye/feto-ile-mucadele-edenler-yuksek-yargic-oldu-/1205829</w:t>
        </w:r>
      </w:hyperlink>
    </w:p>
  </w:footnote>
  <w:footnote w:id="3">
    <w:p w14:paraId="39AEFB63" w14:textId="2A9D8D7D" w:rsidR="00AE7BC3" w:rsidRPr="00D73977" w:rsidRDefault="00AE7BC3" w:rsidP="00D73977">
      <w:pPr>
        <w:pStyle w:val="DipnotMetni"/>
        <w:ind w:left="567" w:hanging="567"/>
        <w:jc w:val="both"/>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00D73977" w:rsidRPr="00D73977">
        <w:rPr>
          <w:rFonts w:ascii="Times New Roman" w:hAnsi="Times New Roman" w:cs="Times New Roman"/>
        </w:rPr>
        <w:tab/>
      </w:r>
      <w:hyperlink r:id="rId9" w:history="1">
        <w:r w:rsidR="00D73977" w:rsidRPr="00D73977">
          <w:rPr>
            <w:rStyle w:val="Kpr"/>
            <w:rFonts w:ascii="Times New Roman" w:hAnsi="Times New Roman" w:cs="Times New Roman"/>
          </w:rPr>
          <w:t>https://www.denizlimuhabir.com/denizlim-danistay-uyesi-yunus-aykin-i-konuk-etti/3155</w:t>
        </w:r>
      </w:hyperlink>
    </w:p>
  </w:footnote>
  <w:footnote w:id="4">
    <w:p w14:paraId="08EEE3D4" w14:textId="54AECB2F" w:rsidR="00AE7BC3" w:rsidRPr="00D73977" w:rsidRDefault="00AE7BC3" w:rsidP="00D73977">
      <w:pPr>
        <w:pStyle w:val="DipnotMetni"/>
        <w:ind w:left="567" w:hanging="567"/>
        <w:jc w:val="both"/>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00D73977" w:rsidRPr="00D73977">
        <w:rPr>
          <w:rFonts w:ascii="Times New Roman" w:hAnsi="Times New Roman" w:cs="Times New Roman"/>
        </w:rPr>
        <w:tab/>
      </w:r>
      <w:hyperlink r:id="rId10" w:history="1">
        <w:r w:rsidR="00D73977" w:rsidRPr="00D73977">
          <w:rPr>
            <w:rStyle w:val="Kpr"/>
            <w:rFonts w:ascii="Times New Roman" w:hAnsi="Times New Roman" w:cs="Times New Roman"/>
          </w:rPr>
          <w:t>https://www.haberler.com/feto-nun-yargi-icerisindeki-gucu-2014-te-kirildi-9748531-haberi/</w:t>
        </w:r>
      </w:hyperlink>
      <w:r w:rsidRPr="00D73977">
        <w:rPr>
          <w:rFonts w:ascii="Times New Roman" w:hAnsi="Times New Roman" w:cs="Times New Roman"/>
        </w:rPr>
        <w:t xml:space="preserve">, </w:t>
      </w:r>
      <w:hyperlink r:id="rId11" w:history="1">
        <w:r w:rsidRPr="00D73977">
          <w:rPr>
            <w:rStyle w:val="Kpr"/>
            <w:rFonts w:ascii="Times New Roman" w:hAnsi="Times New Roman" w:cs="Times New Roman"/>
          </w:rPr>
          <w:t>https://www.haberler.com/guncel/yargida-birlik-dernegi-baskani-heybet-aciklamasi-9730775-haberi/</w:t>
        </w:r>
      </w:hyperlink>
      <w:r w:rsidRPr="00D73977">
        <w:rPr>
          <w:rFonts w:ascii="Times New Roman" w:hAnsi="Times New Roman" w:cs="Times New Roman"/>
        </w:rPr>
        <w:t xml:space="preserve">, </w:t>
      </w:r>
      <w:hyperlink r:id="rId12" w:history="1">
        <w:r w:rsidRPr="00D73977">
          <w:rPr>
            <w:rStyle w:val="Kpr"/>
            <w:rFonts w:ascii="Times New Roman" w:hAnsi="Times New Roman" w:cs="Times New Roman"/>
          </w:rPr>
          <w:t>https://www.aa.com.tr/tr/15-temmuz-darbe-girisimi/magduriyet-algisi-ihanetin-perdelenmesi-icin-ozel-calismadir/908987</w:t>
        </w:r>
      </w:hyperlink>
      <w:r w:rsidRPr="00D73977">
        <w:rPr>
          <w:rFonts w:ascii="Times New Roman" w:hAnsi="Times New Roman" w:cs="Times New Roman"/>
        </w:rPr>
        <w:t xml:space="preserve">, </w:t>
      </w:r>
      <w:hyperlink r:id="rId13" w:history="1">
        <w:r w:rsidRPr="00D73977">
          <w:rPr>
            <w:rStyle w:val="Kpr"/>
            <w:rFonts w:ascii="Times New Roman" w:hAnsi="Times New Roman" w:cs="Times New Roman"/>
          </w:rPr>
          <w:t>https://www.dha.com.tr/gundem/ybd-baskani-heybet-hsk-bu-yapiyla-mucadelesini-surduruyor-1574311</w:t>
        </w:r>
      </w:hyperlink>
    </w:p>
  </w:footnote>
  <w:footnote w:id="5">
    <w:p w14:paraId="2BAD7ED0" w14:textId="45D1E9C8" w:rsidR="00D73977" w:rsidRPr="00D73977" w:rsidRDefault="00D73977" w:rsidP="00D73977">
      <w:pPr>
        <w:pStyle w:val="DipnotMetni"/>
        <w:ind w:left="567" w:hanging="567"/>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Pr="00D73977">
        <w:rPr>
          <w:rFonts w:ascii="Times New Roman" w:hAnsi="Times New Roman" w:cs="Times New Roman"/>
        </w:rPr>
        <w:tab/>
      </w:r>
      <w:hyperlink r:id="rId14" w:history="1">
        <w:r w:rsidRPr="00EE11E6">
          <w:rPr>
            <w:rStyle w:val="Kpr"/>
            <w:rFonts w:ascii="Times New Roman" w:hAnsi="Times New Roman" w:cs="Times New Roman"/>
          </w:rPr>
          <w:t>https://justicesquare.org/danistay-5-dairesi-bagimsiz-ve-tarafsiz-bir-mahkeme-degildir/</w:t>
        </w:r>
      </w:hyperlink>
      <w:r>
        <w:rPr>
          <w:rFonts w:ascii="Times New Roman" w:hAnsi="Times New Roman" w:cs="Times New Roman"/>
        </w:rPr>
        <w:t xml:space="preserve"> </w:t>
      </w:r>
    </w:p>
  </w:footnote>
  <w:footnote w:id="6">
    <w:p w14:paraId="4FA6EDD8" w14:textId="4131AC36" w:rsidR="00AE7BC3" w:rsidRPr="00D73977" w:rsidRDefault="00AE7BC3" w:rsidP="00D73977">
      <w:pPr>
        <w:pStyle w:val="DipnotMetni"/>
        <w:ind w:left="567" w:hanging="567"/>
        <w:jc w:val="both"/>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00D73977" w:rsidRPr="00D73977">
        <w:rPr>
          <w:rFonts w:ascii="Times New Roman" w:hAnsi="Times New Roman" w:cs="Times New Roman"/>
        </w:rPr>
        <w:tab/>
      </w:r>
      <w:hyperlink r:id="rId15" w:history="1">
        <w:r w:rsidR="00D73977" w:rsidRPr="00D73977">
          <w:rPr>
            <w:rStyle w:val="Kpr"/>
            <w:rFonts w:ascii="Times New Roman" w:hAnsi="Times New Roman" w:cs="Times New Roman"/>
          </w:rPr>
          <w:t>https://www.sabah.com.tr/gundem/2024/02/12/450-hakim-savci-krizi</w:t>
        </w:r>
      </w:hyperlink>
    </w:p>
  </w:footnote>
  <w:footnote w:id="7">
    <w:p w14:paraId="51FF494A" w14:textId="28D48A98" w:rsidR="00AE7BC3" w:rsidRPr="00D73977" w:rsidRDefault="00AE7BC3" w:rsidP="00D73977">
      <w:pPr>
        <w:pStyle w:val="DipnotMetni"/>
        <w:ind w:left="567" w:hanging="567"/>
        <w:jc w:val="both"/>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00D73977" w:rsidRPr="00D73977">
        <w:rPr>
          <w:rFonts w:ascii="Times New Roman" w:hAnsi="Times New Roman" w:cs="Times New Roman"/>
        </w:rPr>
        <w:tab/>
      </w:r>
      <w:hyperlink r:id="rId16" w:history="1">
        <w:r w:rsidR="00D73977" w:rsidRPr="00D73977">
          <w:rPr>
            <w:rStyle w:val="Kpr"/>
            <w:rFonts w:ascii="Times New Roman" w:hAnsi="Times New Roman" w:cs="Times New Roman"/>
          </w:rPr>
          <w:t>https://www.sabah.com.tr/gundem/2024/02/15/son-dakika-danistay-fetoden-ihrac-edilen-hakim-ve-savcilari-goreve-iade-etmisti-baskan-erdogandan-sert-tepki-sessiz-kalamayiz?paging=2</w:t>
        </w:r>
      </w:hyperlink>
    </w:p>
  </w:footnote>
  <w:footnote w:id="8">
    <w:p w14:paraId="49AB8335" w14:textId="51293BE4" w:rsidR="00AE7BC3" w:rsidRPr="00D73977" w:rsidRDefault="00AE7BC3" w:rsidP="00D73977">
      <w:pPr>
        <w:pStyle w:val="DipnotMetni"/>
        <w:ind w:left="567" w:hanging="567"/>
        <w:jc w:val="both"/>
        <w:rPr>
          <w:rFonts w:ascii="Times New Roman" w:hAnsi="Times New Roman" w:cs="Times New Roman"/>
        </w:rPr>
      </w:pPr>
      <w:r w:rsidRPr="00D73977">
        <w:rPr>
          <w:rStyle w:val="DipnotBavurusu"/>
          <w:rFonts w:ascii="Times New Roman" w:hAnsi="Times New Roman" w:cs="Times New Roman"/>
          <w:vertAlign w:val="baseline"/>
        </w:rPr>
        <w:footnoteRef/>
      </w:r>
      <w:r w:rsidRPr="00D73977">
        <w:rPr>
          <w:rFonts w:ascii="Times New Roman" w:hAnsi="Times New Roman" w:cs="Times New Roman"/>
        </w:rPr>
        <w:t xml:space="preserve"> </w:t>
      </w:r>
      <w:r w:rsidR="00D73977" w:rsidRPr="00D73977">
        <w:rPr>
          <w:rFonts w:ascii="Times New Roman" w:hAnsi="Times New Roman" w:cs="Times New Roman"/>
        </w:rPr>
        <w:tab/>
      </w:r>
      <w:hyperlink r:id="rId17" w:history="1">
        <w:r w:rsidR="00D73977" w:rsidRPr="00D73977">
          <w:rPr>
            <w:rStyle w:val="Kpr"/>
            <w:rFonts w:ascii="Times New Roman" w:hAnsi="Times New Roman" w:cs="Times New Roman"/>
          </w:rPr>
          <w:t>https://justicesquare.org/wp-content/uploads/2025/10/ANAYASA-MAHKEMESININ-GUNCEL-YARGILAMALAR-KAPSAMINDA-YAPILAN-BASVURULARDA-TARAFSIZLIK-BAGIMSIZLIK-VE-ETKILILIK-SORUNSALI.pdf</w:t>
        </w:r>
      </w:hyperlink>
      <w:r w:rsidRPr="00D73977">
        <w:rPr>
          <w:rFonts w:ascii="Times New Roman" w:hAnsi="Times New Roman" w:cs="Times New Roman"/>
        </w:rPr>
        <w:t xml:space="preserve"> </w:t>
      </w:r>
    </w:p>
  </w:footnote>
  <w:footnote w:id="9">
    <w:p w14:paraId="53D57499" w14:textId="010BDC71" w:rsidR="00AE7BC3" w:rsidRPr="00D73977" w:rsidRDefault="00AE7BC3" w:rsidP="00D73977">
      <w:pPr>
        <w:ind w:left="567" w:hanging="567"/>
        <w:rPr>
          <w:rFonts w:cs="Times New Roman"/>
          <w:sz w:val="20"/>
          <w:szCs w:val="20"/>
          <w:lang w:val="tr"/>
        </w:rPr>
      </w:pPr>
      <w:r w:rsidRPr="00D73977">
        <w:rPr>
          <w:rStyle w:val="DipnotBavurusu"/>
          <w:rFonts w:cs="Times New Roman"/>
          <w:sz w:val="20"/>
          <w:szCs w:val="20"/>
          <w:vertAlign w:val="baseline"/>
        </w:rPr>
        <w:footnoteRef/>
      </w:r>
      <w:r w:rsidRPr="00D73977">
        <w:rPr>
          <w:rFonts w:cs="Times New Roman"/>
          <w:sz w:val="20"/>
          <w:szCs w:val="20"/>
          <w:lang w:val="tr"/>
        </w:rPr>
        <w:t xml:space="preserve"> </w:t>
      </w:r>
      <w:r w:rsidR="00D73977">
        <w:rPr>
          <w:rFonts w:cs="Times New Roman"/>
          <w:sz w:val="20"/>
          <w:szCs w:val="20"/>
          <w:lang w:val="tr"/>
        </w:rPr>
        <w:tab/>
      </w:r>
      <w:r w:rsidRPr="00D73977">
        <w:rPr>
          <w:rFonts w:cs="Times New Roman"/>
          <w:sz w:val="20"/>
          <w:szCs w:val="20"/>
          <w:lang w:val="tr"/>
        </w:rPr>
        <w:t>Samet Saygı, Anayasa ve İnsan Hakları Hukuku Açısından Olağanüstü Tedbirle Kamu Görevinden Çıkarılma, Yetkin Yayınları, 2025.</w:t>
      </w:r>
    </w:p>
  </w:footnote>
  <w:footnote w:id="10">
    <w:p w14:paraId="3EE70473" w14:textId="4D81C299" w:rsidR="00AE7BC3" w:rsidRPr="00D73977" w:rsidRDefault="00AE7BC3" w:rsidP="00D73977">
      <w:pPr>
        <w:ind w:left="567" w:hanging="567"/>
        <w:rPr>
          <w:rFonts w:cs="Times New Roman"/>
          <w:sz w:val="20"/>
          <w:szCs w:val="20"/>
          <w:lang w:val="tr"/>
        </w:rPr>
      </w:pPr>
      <w:r w:rsidRPr="00D73977">
        <w:rPr>
          <w:rStyle w:val="DipnotBavurusu"/>
          <w:rFonts w:cs="Times New Roman"/>
          <w:sz w:val="20"/>
          <w:szCs w:val="20"/>
          <w:vertAlign w:val="baseline"/>
        </w:rPr>
        <w:footnoteRef/>
      </w:r>
      <w:r w:rsidRPr="00D73977">
        <w:rPr>
          <w:rFonts w:cs="Times New Roman"/>
          <w:sz w:val="20"/>
          <w:szCs w:val="20"/>
          <w:lang w:val="tr"/>
        </w:rPr>
        <w:t xml:space="preserve"> </w:t>
      </w:r>
      <w:r w:rsidR="00D73977" w:rsidRPr="00D73977">
        <w:rPr>
          <w:rFonts w:cs="Times New Roman"/>
          <w:sz w:val="20"/>
          <w:szCs w:val="20"/>
          <w:lang w:val="tr"/>
        </w:rPr>
        <w:tab/>
      </w:r>
      <w:r w:rsidRPr="00D73977">
        <w:rPr>
          <w:rFonts w:cs="Times New Roman"/>
          <w:sz w:val="20"/>
          <w:szCs w:val="20"/>
          <w:lang w:val="tr"/>
        </w:rPr>
        <w:t>Samet Saygı, Anayasa ve İnsan Hakları Hukuku Açısından Olağanüstü Tedbirler Kamu Görevinden Çıkarılma, Doktora tezi. 2025, s. 182-213.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95857"/>
    <w:multiLevelType w:val="hybridMultilevel"/>
    <w:tmpl w:val="926CC296"/>
    <w:lvl w:ilvl="0" w:tplc="77BCE414">
      <w:start w:val="1"/>
      <w:numFmt w:val="decimal"/>
      <w:lvlText w:val="%1."/>
      <w:lvlJc w:val="left"/>
      <w:pPr>
        <w:ind w:left="720" w:hanging="360"/>
      </w:pPr>
      <w:rPr>
        <w:b/>
        <w:bCs/>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2490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1C"/>
    <w:rsid w:val="00004D4A"/>
    <w:rsid w:val="00063EED"/>
    <w:rsid w:val="000E0960"/>
    <w:rsid w:val="0014166C"/>
    <w:rsid w:val="00156FC5"/>
    <w:rsid w:val="001777BB"/>
    <w:rsid w:val="001E312B"/>
    <w:rsid w:val="001E555F"/>
    <w:rsid w:val="002330A4"/>
    <w:rsid w:val="002416B7"/>
    <w:rsid w:val="00245360"/>
    <w:rsid w:val="002A15C4"/>
    <w:rsid w:val="002B2EED"/>
    <w:rsid w:val="0033659D"/>
    <w:rsid w:val="00361BB5"/>
    <w:rsid w:val="003652F3"/>
    <w:rsid w:val="003B20C3"/>
    <w:rsid w:val="003F021E"/>
    <w:rsid w:val="004130E0"/>
    <w:rsid w:val="0047221A"/>
    <w:rsid w:val="00487080"/>
    <w:rsid w:val="00492203"/>
    <w:rsid w:val="00495ADF"/>
    <w:rsid w:val="004A2953"/>
    <w:rsid w:val="00547922"/>
    <w:rsid w:val="005B3D9A"/>
    <w:rsid w:val="005C13BD"/>
    <w:rsid w:val="005C192B"/>
    <w:rsid w:val="00627FC4"/>
    <w:rsid w:val="00645BAB"/>
    <w:rsid w:val="006C3D67"/>
    <w:rsid w:val="006D40B2"/>
    <w:rsid w:val="006F087E"/>
    <w:rsid w:val="0071332C"/>
    <w:rsid w:val="00780A6D"/>
    <w:rsid w:val="00787647"/>
    <w:rsid w:val="007B3B45"/>
    <w:rsid w:val="007C6767"/>
    <w:rsid w:val="007D3DD8"/>
    <w:rsid w:val="007D4D2D"/>
    <w:rsid w:val="007E5186"/>
    <w:rsid w:val="008F35C6"/>
    <w:rsid w:val="008F5ADF"/>
    <w:rsid w:val="00946642"/>
    <w:rsid w:val="009F60F1"/>
    <w:rsid w:val="00AB481C"/>
    <w:rsid w:val="00AC31BB"/>
    <w:rsid w:val="00AC4DE1"/>
    <w:rsid w:val="00AE7BC3"/>
    <w:rsid w:val="00B2101D"/>
    <w:rsid w:val="00B37482"/>
    <w:rsid w:val="00C21726"/>
    <w:rsid w:val="00CE1E7C"/>
    <w:rsid w:val="00CF1414"/>
    <w:rsid w:val="00D060C8"/>
    <w:rsid w:val="00D37C80"/>
    <w:rsid w:val="00D42426"/>
    <w:rsid w:val="00D6659C"/>
    <w:rsid w:val="00D72DF0"/>
    <w:rsid w:val="00D73977"/>
    <w:rsid w:val="00DE48B0"/>
    <w:rsid w:val="00DF405B"/>
    <w:rsid w:val="00E12B07"/>
    <w:rsid w:val="00E80519"/>
    <w:rsid w:val="00EA4F51"/>
    <w:rsid w:val="00F10ECA"/>
    <w:rsid w:val="00F15B9A"/>
    <w:rsid w:val="00FD247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A438"/>
  <w15:chartTrackingRefBased/>
  <w15:docId w15:val="{26D200AD-28EF-4AC7-8DC9-5069DE30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05B"/>
    <w:pPr>
      <w:spacing w:before="120" w:after="120"/>
      <w:jc w:val="both"/>
    </w:pPr>
    <w:rPr>
      <w:rFonts w:ascii="Times New Roman" w:hAnsi="Times New Roman"/>
      <w:sz w:val="24"/>
      <w:lang w:val="en-US"/>
    </w:rPr>
  </w:style>
  <w:style w:type="paragraph" w:styleId="Balk1">
    <w:name w:val="heading 1"/>
    <w:basedOn w:val="Normal"/>
    <w:next w:val="Normal"/>
    <w:link w:val="Balk1Char"/>
    <w:autoRedefine/>
    <w:uiPriority w:val="9"/>
    <w:qFormat/>
    <w:rsid w:val="00CF1414"/>
    <w:pPr>
      <w:keepNext/>
      <w:keepLines/>
      <w:spacing w:before="240"/>
      <w:outlineLvl w:val="0"/>
    </w:pPr>
    <w:rPr>
      <w:rFonts w:eastAsiaTheme="majorEastAsia" w:cs="Arial"/>
      <w:b/>
      <w:lang w:val="tr-TR"/>
    </w:rPr>
  </w:style>
  <w:style w:type="paragraph" w:styleId="Balk2">
    <w:name w:val="heading 2"/>
    <w:basedOn w:val="Normal"/>
    <w:next w:val="Normal"/>
    <w:link w:val="Balk2Char"/>
    <w:autoRedefine/>
    <w:uiPriority w:val="9"/>
    <w:unhideWhenUsed/>
    <w:qFormat/>
    <w:rsid w:val="005C192B"/>
    <w:pPr>
      <w:keepNext/>
      <w:keepLines/>
      <w:outlineLvl w:val="1"/>
    </w:pPr>
    <w:rPr>
      <w:rFonts w:eastAsiaTheme="majorEastAsia" w:cstheme="majorBidi"/>
      <w:b/>
      <w:szCs w:val="26"/>
      <w:lang w:val="tr-TR"/>
    </w:rPr>
  </w:style>
  <w:style w:type="paragraph" w:styleId="Balk3">
    <w:name w:val="heading 3"/>
    <w:basedOn w:val="Normal"/>
    <w:next w:val="Normal"/>
    <w:link w:val="Balk3Char"/>
    <w:uiPriority w:val="9"/>
    <w:unhideWhenUsed/>
    <w:qFormat/>
    <w:rsid w:val="000E0960"/>
    <w:pPr>
      <w:keepNext/>
      <w:keepLines/>
      <w:spacing w:before="160" w:after="80"/>
      <w:outlineLvl w:val="2"/>
    </w:pPr>
    <w:rPr>
      <w:rFonts w:eastAsiaTheme="majorEastAsia" w:cstheme="majorBidi"/>
      <w:b/>
      <w:color w:val="215E99" w:themeColor="text2" w:themeTint="BF"/>
      <w:szCs w:val="28"/>
    </w:rPr>
  </w:style>
  <w:style w:type="paragraph" w:styleId="Balk4">
    <w:name w:val="heading 4"/>
    <w:basedOn w:val="Normal"/>
    <w:next w:val="Normal"/>
    <w:link w:val="Balk4Char"/>
    <w:uiPriority w:val="9"/>
    <w:semiHidden/>
    <w:unhideWhenUsed/>
    <w:qFormat/>
    <w:rsid w:val="00AB48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AB481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AB48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AB481C"/>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AB481C"/>
    <w:pPr>
      <w:keepNext/>
      <w:keepLines/>
      <w:spacing w:before="0"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AB481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C192B"/>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rsid w:val="000E0960"/>
    <w:rPr>
      <w:rFonts w:eastAsiaTheme="majorEastAsia" w:cstheme="majorBidi"/>
      <w:b/>
      <w:color w:val="215E99" w:themeColor="text2" w:themeTint="BF"/>
      <w:sz w:val="24"/>
      <w:szCs w:val="28"/>
    </w:rPr>
  </w:style>
  <w:style w:type="character" w:customStyle="1" w:styleId="Balk1Char">
    <w:name w:val="Başlık 1 Char"/>
    <w:basedOn w:val="VarsaylanParagrafYazTipi"/>
    <w:link w:val="Balk1"/>
    <w:uiPriority w:val="9"/>
    <w:rsid w:val="00CF1414"/>
    <w:rPr>
      <w:rFonts w:ascii="Times New Roman" w:eastAsiaTheme="majorEastAsia" w:hAnsi="Times New Roman" w:cs="Arial"/>
      <w:b/>
      <w:sz w:val="24"/>
      <w:lang w:val="tr-TR"/>
    </w:rPr>
  </w:style>
  <w:style w:type="character" w:customStyle="1" w:styleId="Balk4Char">
    <w:name w:val="Başlık 4 Char"/>
    <w:basedOn w:val="VarsaylanParagrafYazTipi"/>
    <w:link w:val="Balk4"/>
    <w:uiPriority w:val="9"/>
    <w:semiHidden/>
    <w:rsid w:val="00AB481C"/>
    <w:rPr>
      <w:rFonts w:eastAsiaTheme="majorEastAsia" w:cstheme="majorBidi"/>
      <w:i/>
      <w:iCs/>
      <w:color w:val="0F4761" w:themeColor="accent1" w:themeShade="BF"/>
      <w:sz w:val="24"/>
      <w:lang w:val="en-US"/>
    </w:rPr>
  </w:style>
  <w:style w:type="character" w:customStyle="1" w:styleId="Balk5Char">
    <w:name w:val="Başlık 5 Char"/>
    <w:basedOn w:val="VarsaylanParagrafYazTipi"/>
    <w:link w:val="Balk5"/>
    <w:uiPriority w:val="9"/>
    <w:semiHidden/>
    <w:rsid w:val="00AB481C"/>
    <w:rPr>
      <w:rFonts w:eastAsiaTheme="majorEastAsia" w:cstheme="majorBidi"/>
      <w:color w:val="0F4761" w:themeColor="accent1" w:themeShade="BF"/>
      <w:sz w:val="24"/>
      <w:lang w:val="en-US"/>
    </w:rPr>
  </w:style>
  <w:style w:type="character" w:customStyle="1" w:styleId="Balk6Char">
    <w:name w:val="Başlık 6 Char"/>
    <w:basedOn w:val="VarsaylanParagrafYazTipi"/>
    <w:link w:val="Balk6"/>
    <w:uiPriority w:val="9"/>
    <w:semiHidden/>
    <w:rsid w:val="00AB481C"/>
    <w:rPr>
      <w:rFonts w:eastAsiaTheme="majorEastAsia" w:cstheme="majorBidi"/>
      <w:i/>
      <w:iCs/>
      <w:color w:val="595959" w:themeColor="text1" w:themeTint="A6"/>
      <w:sz w:val="24"/>
      <w:lang w:val="en-US"/>
    </w:rPr>
  </w:style>
  <w:style w:type="character" w:customStyle="1" w:styleId="Balk7Char">
    <w:name w:val="Başlık 7 Char"/>
    <w:basedOn w:val="VarsaylanParagrafYazTipi"/>
    <w:link w:val="Balk7"/>
    <w:uiPriority w:val="9"/>
    <w:semiHidden/>
    <w:rsid w:val="00AB481C"/>
    <w:rPr>
      <w:rFonts w:eastAsiaTheme="majorEastAsia" w:cstheme="majorBidi"/>
      <w:color w:val="595959" w:themeColor="text1" w:themeTint="A6"/>
      <w:sz w:val="24"/>
      <w:lang w:val="en-US"/>
    </w:rPr>
  </w:style>
  <w:style w:type="character" w:customStyle="1" w:styleId="Balk8Char">
    <w:name w:val="Başlık 8 Char"/>
    <w:basedOn w:val="VarsaylanParagrafYazTipi"/>
    <w:link w:val="Balk8"/>
    <w:uiPriority w:val="9"/>
    <w:semiHidden/>
    <w:rsid w:val="00AB481C"/>
    <w:rPr>
      <w:rFonts w:eastAsiaTheme="majorEastAsia" w:cstheme="majorBidi"/>
      <w:i/>
      <w:iCs/>
      <w:color w:val="272727" w:themeColor="text1" w:themeTint="D8"/>
      <w:sz w:val="24"/>
      <w:lang w:val="en-US"/>
    </w:rPr>
  </w:style>
  <w:style w:type="character" w:customStyle="1" w:styleId="Balk9Char">
    <w:name w:val="Başlık 9 Char"/>
    <w:basedOn w:val="VarsaylanParagrafYazTipi"/>
    <w:link w:val="Balk9"/>
    <w:uiPriority w:val="9"/>
    <w:semiHidden/>
    <w:rsid w:val="00AB481C"/>
    <w:rPr>
      <w:rFonts w:eastAsiaTheme="majorEastAsia" w:cstheme="majorBidi"/>
      <w:color w:val="272727" w:themeColor="text1" w:themeTint="D8"/>
      <w:sz w:val="24"/>
      <w:lang w:val="en-US"/>
    </w:rPr>
  </w:style>
  <w:style w:type="paragraph" w:styleId="KonuBal">
    <w:name w:val="Title"/>
    <w:basedOn w:val="Normal"/>
    <w:next w:val="Normal"/>
    <w:link w:val="KonuBalChar"/>
    <w:uiPriority w:val="10"/>
    <w:qFormat/>
    <w:rsid w:val="00AB481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B481C"/>
    <w:rPr>
      <w:rFonts w:asciiTheme="majorHAnsi" w:eastAsiaTheme="majorEastAsia" w:hAnsiTheme="majorHAnsi" w:cstheme="majorBidi"/>
      <w:spacing w:val="-10"/>
      <w:kern w:val="28"/>
      <w:sz w:val="56"/>
      <w:szCs w:val="56"/>
      <w:lang w:val="en-US"/>
    </w:rPr>
  </w:style>
  <w:style w:type="paragraph" w:styleId="Altyaz">
    <w:name w:val="Subtitle"/>
    <w:basedOn w:val="Normal"/>
    <w:next w:val="Normal"/>
    <w:link w:val="AltyazChar"/>
    <w:uiPriority w:val="11"/>
    <w:qFormat/>
    <w:rsid w:val="00AB48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B481C"/>
    <w:rPr>
      <w:rFonts w:eastAsiaTheme="majorEastAsia" w:cstheme="majorBidi"/>
      <w:color w:val="595959" w:themeColor="text1" w:themeTint="A6"/>
      <w:spacing w:val="15"/>
      <w:sz w:val="28"/>
      <w:szCs w:val="28"/>
      <w:lang w:val="en-US"/>
    </w:rPr>
  </w:style>
  <w:style w:type="paragraph" w:styleId="Alnt">
    <w:name w:val="Quote"/>
    <w:basedOn w:val="Normal"/>
    <w:next w:val="Normal"/>
    <w:link w:val="AlntChar"/>
    <w:uiPriority w:val="29"/>
    <w:qFormat/>
    <w:rsid w:val="00AB481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AB481C"/>
    <w:rPr>
      <w:rFonts w:ascii="Times New Roman" w:hAnsi="Times New Roman"/>
      <w:i/>
      <w:iCs/>
      <w:color w:val="404040" w:themeColor="text1" w:themeTint="BF"/>
      <w:sz w:val="24"/>
      <w:lang w:val="en-US"/>
    </w:rPr>
  </w:style>
  <w:style w:type="paragraph" w:styleId="ListeParagraf">
    <w:name w:val="List Paragraph"/>
    <w:basedOn w:val="Normal"/>
    <w:uiPriority w:val="34"/>
    <w:qFormat/>
    <w:rsid w:val="00AB481C"/>
    <w:pPr>
      <w:ind w:left="720"/>
      <w:contextualSpacing/>
    </w:pPr>
  </w:style>
  <w:style w:type="character" w:styleId="GlVurgulama">
    <w:name w:val="Intense Emphasis"/>
    <w:basedOn w:val="VarsaylanParagrafYazTipi"/>
    <w:uiPriority w:val="21"/>
    <w:qFormat/>
    <w:rsid w:val="00AB481C"/>
    <w:rPr>
      <w:i/>
      <w:iCs/>
      <w:color w:val="0F4761" w:themeColor="accent1" w:themeShade="BF"/>
    </w:rPr>
  </w:style>
  <w:style w:type="paragraph" w:styleId="GlAlnt">
    <w:name w:val="Intense Quote"/>
    <w:basedOn w:val="Normal"/>
    <w:next w:val="Normal"/>
    <w:link w:val="GlAlntChar"/>
    <w:uiPriority w:val="30"/>
    <w:qFormat/>
    <w:rsid w:val="00AB4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B481C"/>
    <w:rPr>
      <w:rFonts w:ascii="Times New Roman" w:hAnsi="Times New Roman"/>
      <w:i/>
      <w:iCs/>
      <w:color w:val="0F4761" w:themeColor="accent1" w:themeShade="BF"/>
      <w:sz w:val="24"/>
      <w:lang w:val="en-US"/>
    </w:rPr>
  </w:style>
  <w:style w:type="character" w:styleId="GlBavuru">
    <w:name w:val="Intense Reference"/>
    <w:basedOn w:val="VarsaylanParagrafYazTipi"/>
    <w:uiPriority w:val="32"/>
    <w:qFormat/>
    <w:rsid w:val="00AB481C"/>
    <w:rPr>
      <w:b/>
      <w:bCs/>
      <w:smallCaps/>
      <w:color w:val="0F4761" w:themeColor="accent1" w:themeShade="BF"/>
      <w:spacing w:val="5"/>
    </w:rPr>
  </w:style>
  <w:style w:type="paragraph" w:styleId="AklamaMetni">
    <w:name w:val="annotation text"/>
    <w:basedOn w:val="Normal"/>
    <w:link w:val="AklamaMetniChar"/>
    <w:uiPriority w:val="99"/>
    <w:unhideWhenUsed/>
    <w:rsid w:val="0047221A"/>
    <w:pPr>
      <w:spacing w:before="0" w:after="160" w:line="240" w:lineRule="auto"/>
      <w:jc w:val="left"/>
    </w:pPr>
    <w:rPr>
      <w:rFonts w:ascii="Aptos" w:eastAsia="Aptos" w:hAnsi="Aptos" w:cs="Aptos"/>
      <w:kern w:val="0"/>
      <w:sz w:val="20"/>
      <w:szCs w:val="20"/>
      <w:lang w:val="tr" w:eastAsia="fr-CH"/>
      <w14:ligatures w14:val="none"/>
    </w:rPr>
  </w:style>
  <w:style w:type="character" w:customStyle="1" w:styleId="AklamaMetniChar">
    <w:name w:val="Açıklama Metni Char"/>
    <w:basedOn w:val="VarsaylanParagrafYazTipi"/>
    <w:link w:val="AklamaMetni"/>
    <w:uiPriority w:val="99"/>
    <w:rsid w:val="0047221A"/>
    <w:rPr>
      <w:rFonts w:ascii="Aptos" w:eastAsia="Aptos" w:hAnsi="Aptos" w:cs="Aptos"/>
      <w:kern w:val="0"/>
      <w:sz w:val="20"/>
      <w:szCs w:val="20"/>
      <w:lang w:val="tr" w:eastAsia="fr-CH"/>
      <w14:ligatures w14:val="none"/>
    </w:rPr>
  </w:style>
  <w:style w:type="character" w:styleId="AklamaBavurusu">
    <w:name w:val="annotation reference"/>
    <w:basedOn w:val="VarsaylanParagrafYazTipi"/>
    <w:uiPriority w:val="99"/>
    <w:semiHidden/>
    <w:unhideWhenUsed/>
    <w:rsid w:val="0047221A"/>
    <w:rPr>
      <w:sz w:val="16"/>
      <w:szCs w:val="16"/>
    </w:rPr>
  </w:style>
  <w:style w:type="character" w:styleId="Kpr">
    <w:name w:val="Hyperlink"/>
    <w:basedOn w:val="VarsaylanParagrafYazTipi"/>
    <w:uiPriority w:val="99"/>
    <w:unhideWhenUsed/>
    <w:rsid w:val="0047221A"/>
    <w:rPr>
      <w:color w:val="0000FF"/>
      <w:u w:val="single"/>
    </w:rPr>
  </w:style>
  <w:style w:type="paragraph" w:styleId="DipnotMetni">
    <w:name w:val="footnote text"/>
    <w:aliases w:val="Dipnot Metni Char Char Char Char,Dipnot Metni Char Char Char"/>
    <w:basedOn w:val="Normal"/>
    <w:link w:val="DipnotMetniChar"/>
    <w:uiPriority w:val="99"/>
    <w:unhideWhenUsed/>
    <w:rsid w:val="0047221A"/>
    <w:pPr>
      <w:spacing w:before="0" w:after="0" w:line="240" w:lineRule="auto"/>
      <w:jc w:val="left"/>
    </w:pPr>
    <w:rPr>
      <w:rFonts w:ascii="Aptos" w:eastAsia="Aptos" w:hAnsi="Aptos" w:cs="Aptos"/>
      <w:kern w:val="0"/>
      <w:sz w:val="20"/>
      <w:szCs w:val="20"/>
      <w:lang w:val="tr" w:eastAsia="fr-CH"/>
      <w14:ligatures w14:val="none"/>
    </w:rPr>
  </w:style>
  <w:style w:type="character" w:customStyle="1" w:styleId="DipnotMetniChar">
    <w:name w:val="Dipnot Metni Char"/>
    <w:aliases w:val="Dipnot Metni Char Char Char Char Char,Dipnot Metni Char Char Char Char1"/>
    <w:basedOn w:val="VarsaylanParagrafYazTipi"/>
    <w:link w:val="DipnotMetni"/>
    <w:uiPriority w:val="99"/>
    <w:rsid w:val="0047221A"/>
    <w:rPr>
      <w:rFonts w:ascii="Aptos" w:eastAsia="Aptos" w:hAnsi="Aptos" w:cs="Aptos"/>
      <w:kern w:val="0"/>
      <w:sz w:val="20"/>
      <w:szCs w:val="20"/>
      <w:lang w:val="tr" w:eastAsia="fr-CH"/>
      <w14:ligatures w14:val="none"/>
    </w:rPr>
  </w:style>
  <w:style w:type="character" w:styleId="DipnotBavurusu">
    <w:name w:val="footnote reference"/>
    <w:basedOn w:val="VarsaylanParagrafYazTipi"/>
    <w:uiPriority w:val="99"/>
    <w:unhideWhenUsed/>
    <w:qFormat/>
    <w:rsid w:val="0047221A"/>
    <w:rPr>
      <w:vertAlign w:val="superscript"/>
    </w:rPr>
  </w:style>
  <w:style w:type="paragraph" w:styleId="stBilgi">
    <w:name w:val="header"/>
    <w:basedOn w:val="Normal"/>
    <w:link w:val="stBilgiChar"/>
    <w:uiPriority w:val="99"/>
    <w:unhideWhenUsed/>
    <w:rsid w:val="0047221A"/>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47221A"/>
    <w:rPr>
      <w:rFonts w:ascii="Times New Roman" w:hAnsi="Times New Roman"/>
      <w:sz w:val="24"/>
      <w:lang w:val="en-US"/>
    </w:rPr>
  </w:style>
  <w:style w:type="paragraph" w:styleId="AltBilgi">
    <w:name w:val="footer"/>
    <w:basedOn w:val="Normal"/>
    <w:link w:val="AltBilgiChar"/>
    <w:uiPriority w:val="99"/>
    <w:unhideWhenUsed/>
    <w:rsid w:val="0047221A"/>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47221A"/>
    <w:rPr>
      <w:rFonts w:ascii="Times New Roman" w:hAnsi="Times New Roman"/>
      <w:sz w:val="24"/>
      <w:lang w:val="en-US"/>
    </w:rPr>
  </w:style>
  <w:style w:type="character" w:styleId="zmlenmeyenBahsetme">
    <w:name w:val="Unresolved Mention"/>
    <w:basedOn w:val="VarsaylanParagrafYazTipi"/>
    <w:uiPriority w:val="99"/>
    <w:semiHidden/>
    <w:unhideWhenUsed/>
    <w:rsid w:val="00D73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a.com.tr/tr/turkiye/feto-ile-mucadele-edenler-yuksek-yargic-oldu-/1205829" TargetMode="External"/><Relationship Id="rId13" Type="http://schemas.openxmlformats.org/officeDocument/2006/relationships/hyperlink" Target="https://www.dha.com.tr/gundem/ybd-baskani-heybet-hsk-bu-yapiyla-mucadelesini-surduruyor-1574311" TargetMode="External"/><Relationship Id="rId3" Type="http://schemas.openxmlformats.org/officeDocument/2006/relationships/hyperlink" Target="https://www.venice.coe.int/webforms/documents/default.aspx?pdffile=CDL-AD(2017)005-e" TargetMode="External"/><Relationship Id="rId7" Type="http://schemas.openxmlformats.org/officeDocument/2006/relationships/hyperlink" Target="https://www.venice.coe.int/webforms/documents/default.aspx?pdffile=CDL-AD(2024)041-e" TargetMode="External"/><Relationship Id="rId12" Type="http://schemas.openxmlformats.org/officeDocument/2006/relationships/hyperlink" Target="https://www.aa.com.tr/tr/15-temmuz-darbe-girisimi/magduriyet-algisi-ihanetin-perdelenmesi-icin-ozel-calismadir/908987" TargetMode="External"/><Relationship Id="rId17" Type="http://schemas.openxmlformats.org/officeDocument/2006/relationships/hyperlink" Target="https://justicesquare.org/wp-content/uploads/2025/10/ANAYASA-MAHKEMESININ-GUNCEL-YARGILAMALAR-KAPSAMINDA-YAPILAN-BASVURULARDA-TARAFSIZLIK-BAGIMSIZLIK-VE-ETKILILIK-SORUNSALI.pdf" TargetMode="External"/><Relationship Id="rId2" Type="http://schemas.openxmlformats.org/officeDocument/2006/relationships/hyperlink" Target="https://www.icj.org/wp-content/uploads/2016/07/Turkey-Judiciary-in-Peril-Publications-Reports-Fact-Findings-Mission-Reports-2016-ENG.pdf" TargetMode="External"/><Relationship Id="rId16" Type="http://schemas.openxmlformats.org/officeDocument/2006/relationships/hyperlink" Target="https://www.sabah.com.tr/gundem/2024/02/15/son-dakika-danistay-fetoden-ihrac-edilen-hakim-ve-savcilari-goreve-iade-etmisti-baskan-erdogandan-sert-tepki-sessiz-kalamayiz?paging=2" TargetMode="External"/><Relationship Id="rId1" Type="http://schemas.openxmlformats.org/officeDocument/2006/relationships/hyperlink" Target="http://www.ab.gov.tr/files/5%20Ekim/son__2016_ilerleme_raporu_tr.pdf" TargetMode="External"/><Relationship Id="rId6" Type="http://schemas.openxmlformats.org/officeDocument/2006/relationships/hyperlink" Target="https://images.transparencycdn.org/images/2020_Report_ExaminingStateCapture_English.pdf" TargetMode="External"/><Relationship Id="rId11" Type="http://schemas.openxmlformats.org/officeDocument/2006/relationships/hyperlink" Target="https://www.haberler.com/guncel/yargida-birlik-dernegi-baskani-heybet-aciklamasi-9730775-haberi/" TargetMode="External"/><Relationship Id="rId5" Type="http://schemas.openxmlformats.org/officeDocument/2006/relationships/hyperlink" Target="https://rm.coe.int/report-on-the-visit-to-turkey-by-dunja-mijatovic-council-of-europe-com/168099823e" TargetMode="External"/><Relationship Id="rId15" Type="http://schemas.openxmlformats.org/officeDocument/2006/relationships/hyperlink" Target="https://www.sabah.com.tr/gundem/2024/02/12/450-hakim-savci-krizi" TargetMode="External"/><Relationship Id="rId10" Type="http://schemas.openxmlformats.org/officeDocument/2006/relationships/hyperlink" Target="https://www.haberler.com/feto-nun-yargi-icerisindeki-gucu-2014-te-kirildi-9748531-haberi/" TargetMode="External"/><Relationship Id="rId4" Type="http://schemas.openxmlformats.org/officeDocument/2006/relationships/hyperlink" Target="https://www.icj.org/wp-content/uploads/2018/12/Turkey-Access-to-justice-Publications-Reports-2018-TUR.pdf?utm" TargetMode="External"/><Relationship Id="rId9" Type="http://schemas.openxmlformats.org/officeDocument/2006/relationships/hyperlink" Target="https://www.denizlimuhabir.com/denizlim-danistay-uyesi-yunus-aykin-i-konuk-etti/3155" TargetMode="External"/><Relationship Id="rId14" Type="http://schemas.openxmlformats.org/officeDocument/2006/relationships/hyperlink" Target="https://justicesquare.org/danistay-5-dairesi-bagimsiz-ve-tarafsiz-bir-mahkeme-degildi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5EC3C-4952-449E-AB7C-359995FF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6823</Words>
  <Characters>38896</Characters>
  <Application>Microsoft Office Word</Application>
  <DocSecurity>0</DocSecurity>
  <Lines>324</Lines>
  <Paragraphs>91</Paragraphs>
  <ScaleCrop>false</ScaleCrop>
  <Company/>
  <LinksUpToDate>false</LinksUpToDate>
  <CharactersWithSpaces>45628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BAHADIR</dc:creator>
  <cp:keywords/>
  <dc:description/>
  <cp:lastModifiedBy>U Y</cp:lastModifiedBy>
  <cp:revision>36</cp:revision>
  <cp:lastPrinted>2025-10-02T13:34:00Z</cp:lastPrinted>
  <dcterms:created xsi:type="dcterms:W3CDTF">2025-10-01T12:00:00Z</dcterms:created>
  <dcterms:modified xsi:type="dcterms:W3CDTF">2025-10-13T09:55:00Z</dcterms:modified>
</cp:coreProperties>
</file>