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57A52" w14:textId="21D4A206" w:rsidR="006D40B2" w:rsidRPr="00492203" w:rsidRDefault="0047221A" w:rsidP="00492203">
      <w:pPr>
        <w:jc w:val="center"/>
        <w:rPr>
          <w:rFonts w:ascii="Arial Narrow" w:hAnsi="Arial Narrow" w:cs="Arial"/>
          <w:b/>
          <w:szCs w:val="24"/>
          <w:lang w:val="tr-TR"/>
        </w:rPr>
      </w:pPr>
      <w:r w:rsidRPr="00492203">
        <w:rPr>
          <w:rFonts w:ascii="Arial Narrow" w:hAnsi="Arial Narrow" w:cs="Arial"/>
          <w:b/>
          <w:szCs w:val="24"/>
          <w:lang w:val="tr-TR"/>
        </w:rPr>
        <w:t>BAŞVURU FORMUNA EK AÇIKLAMALAR</w:t>
      </w:r>
    </w:p>
    <w:p w14:paraId="65F15657" w14:textId="77777777" w:rsidR="00492203" w:rsidRPr="00492203" w:rsidRDefault="00492203" w:rsidP="00492203">
      <w:pPr>
        <w:pStyle w:val="Heading2"/>
        <w:rPr>
          <w:rFonts w:ascii="Arial Narrow" w:hAnsi="Arial Narrow" w:cs="Times New Roman"/>
          <w:szCs w:val="24"/>
        </w:rPr>
      </w:pPr>
      <w:r w:rsidRPr="00492203">
        <w:rPr>
          <w:rFonts w:ascii="Arial Narrow" w:hAnsi="Arial Narrow" w:cs="Times New Roman"/>
          <w:szCs w:val="24"/>
        </w:rPr>
        <w:t>AİHS m.6’nın cezai boyutu, somut olayda uygulanabilir niteliktedir.</w:t>
      </w:r>
    </w:p>
    <w:p w14:paraId="768A3C0B" w14:textId="05C4713E"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Başvurucuya yönelik süreç, 15 Temmuz’dan çok önce </w:t>
      </w:r>
      <w:proofErr w:type="gramStart"/>
      <w:r w:rsidRPr="00492203">
        <w:rPr>
          <w:rFonts w:ascii="Arial Narrow" w:eastAsia="Times New Roman" w:hAnsi="Arial Narrow" w:cs="Times New Roman"/>
          <w:szCs w:val="24"/>
          <w:lang w:val="tr-TR"/>
        </w:rPr>
        <w:t>HS(</w:t>
      </w:r>
      <w:proofErr w:type="gramEnd"/>
      <w:r w:rsidRPr="00492203">
        <w:rPr>
          <w:rFonts w:ascii="Arial Narrow" w:eastAsia="Times New Roman" w:hAnsi="Arial Narrow" w:cs="Times New Roman"/>
          <w:szCs w:val="24"/>
          <w:lang w:val="tr-TR"/>
        </w:rPr>
        <w:t xml:space="preserve">Y)K tarafından yapılan fişlemelere dayalı bir listenin, darbe girişiminin henüz sürdüğü 16 Temmuz sabahı Ankara Cumhuriyet Başsavcılığına verilmesiyle tetiklenmiştir. Önceden hazırlanmış bu liste, sabaha karşı yürürlüğe sokularak planlı bir süreci harekete geçirmiştir. Bu bağlamda </w:t>
      </w:r>
      <w:proofErr w:type="gramStart"/>
      <w:r w:rsidRPr="00492203">
        <w:rPr>
          <w:rFonts w:ascii="Arial Narrow" w:eastAsia="Times New Roman" w:hAnsi="Arial Narrow" w:cs="Times New Roman"/>
          <w:szCs w:val="24"/>
          <w:lang w:val="tr-TR"/>
        </w:rPr>
        <w:t>HS(</w:t>
      </w:r>
      <w:proofErr w:type="gramEnd"/>
      <w:r w:rsidRPr="00492203">
        <w:rPr>
          <w:rFonts w:ascii="Arial Narrow" w:eastAsia="Times New Roman" w:hAnsi="Arial Narrow" w:cs="Times New Roman"/>
          <w:szCs w:val="24"/>
          <w:lang w:val="tr-TR"/>
        </w:rPr>
        <w:t>Y)K listesi gözaltı kararının gerekçesi yapılmış; gözaltına alınmış olmak açığa alma kararına, açığa alma kararı tutuklamaya, tutuklama ise meslekten çıkarma işlemine gerekçe olmuştur. Meslekten çıkarma kararı, iddianame ve yargılama sürecine dayanak yapılmış, verilen mahkûmiyet hükmü de Danıştay tarafından başvurucunun meslekten çıkarılmasına karşı açtığı davanın reddine gerekçe gösterilmiştir. Böylece gözaltından mahkûmiyete ve hatta Danıştay kararına kadar tüm aşamalar, hukuka aykırı fişleme listelerine dayalı, kapalı ve otomatik bir döngü oluşturmuştur.</w:t>
      </w:r>
      <w:r w:rsidR="00D26BEF">
        <w:rPr>
          <w:rFonts w:ascii="Arial Narrow" w:eastAsia="Times New Roman" w:hAnsi="Arial Narrow" w:cs="Times New Roman"/>
          <w:szCs w:val="24"/>
          <w:lang w:val="tr-TR"/>
        </w:rPr>
        <w:t xml:space="preserve"> </w:t>
      </w:r>
      <w:r w:rsidR="00D26BEF" w:rsidRPr="00D26BEF">
        <w:rPr>
          <w:rFonts w:ascii="Arial Narrow" w:eastAsia="Times New Roman" w:hAnsi="Arial Narrow" w:cs="Times New Roman"/>
          <w:szCs w:val="24"/>
          <w:lang w:val="tr-TR"/>
        </w:rPr>
        <w:t xml:space="preserve">Başvurucu hakkında kesin bir hüküm olmamasına rağmen ceza yargılamasında elde edilen veriler </w:t>
      </w:r>
      <w:proofErr w:type="spellStart"/>
      <w:r w:rsidR="00D26BEF" w:rsidRPr="00D26BEF">
        <w:rPr>
          <w:rFonts w:ascii="Arial Narrow" w:eastAsia="Times New Roman" w:hAnsi="Arial Narrow" w:cs="Times New Roman"/>
          <w:i/>
          <w:iCs/>
          <w:szCs w:val="24"/>
          <w:lang w:val="tr-TR"/>
        </w:rPr>
        <w:t>ex</w:t>
      </w:r>
      <w:proofErr w:type="spellEnd"/>
      <w:r w:rsidR="00D26BEF" w:rsidRPr="00D26BEF">
        <w:rPr>
          <w:rFonts w:ascii="Arial Narrow" w:eastAsia="Times New Roman" w:hAnsi="Arial Narrow" w:cs="Times New Roman"/>
          <w:i/>
          <w:iCs/>
          <w:szCs w:val="24"/>
          <w:lang w:val="tr-TR"/>
        </w:rPr>
        <w:t xml:space="preserve"> post </w:t>
      </w:r>
      <w:proofErr w:type="spellStart"/>
      <w:r w:rsidR="00D26BEF" w:rsidRPr="00D26BEF">
        <w:rPr>
          <w:rFonts w:ascii="Arial Narrow" w:eastAsia="Times New Roman" w:hAnsi="Arial Narrow" w:cs="Times New Roman"/>
          <w:i/>
          <w:iCs/>
          <w:szCs w:val="24"/>
          <w:lang w:val="tr-TR"/>
        </w:rPr>
        <w:t>facto</w:t>
      </w:r>
      <w:proofErr w:type="spellEnd"/>
      <w:r w:rsidR="00D26BEF" w:rsidRPr="00D26BEF">
        <w:rPr>
          <w:rFonts w:ascii="Arial Narrow" w:eastAsia="Times New Roman" w:hAnsi="Arial Narrow" w:cs="Times New Roman"/>
          <w:szCs w:val="24"/>
          <w:lang w:val="tr-TR"/>
        </w:rPr>
        <w:t xml:space="preserve"> </w:t>
      </w:r>
      <w:proofErr w:type="gramStart"/>
      <w:r w:rsidR="00D26BEF" w:rsidRPr="00D26BEF">
        <w:rPr>
          <w:rFonts w:ascii="Arial Narrow" w:eastAsia="Times New Roman" w:hAnsi="Arial Narrow" w:cs="Times New Roman"/>
          <w:szCs w:val="24"/>
          <w:lang w:val="tr-TR"/>
        </w:rPr>
        <w:t>olarak  ihraca</w:t>
      </w:r>
      <w:proofErr w:type="gramEnd"/>
      <w:r w:rsidR="00D26BEF" w:rsidRPr="00D26BEF">
        <w:rPr>
          <w:rFonts w:ascii="Arial Narrow" w:eastAsia="Times New Roman" w:hAnsi="Arial Narrow" w:cs="Times New Roman"/>
          <w:szCs w:val="24"/>
          <w:lang w:val="tr-TR"/>
        </w:rPr>
        <w:t xml:space="preserve"> ve müteakiben bu işleme karşı açılan iptal davasında verilen Danıştay kararlarına dayanak yapılmıştır.</w:t>
      </w:r>
    </w:p>
    <w:p w14:paraId="302E562D"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Bu süreçte başvurucu, terör örgütü ile irtibatlı veya iltisaklı olma gerekçesiyle meslekten çıkarılmış, ömür boyu tüm kamu görevlerinden (avukatlık, noterlik, bilirkişilik ve arabuluculuk vb.) menedilmiş ve SGK şerhi nedeniyle özel sektörde de çalışamaz hale getirilmiştir. Başvurucunun meslekten çıkarılması işlemi, (i) her ne kadar olağanüstü bir tedbir olarak adlandırılsa da dayanağı doğrudan Türk Ceza Kanunu’nda (TCK) da suç olarak düzenlenen “terör örgütü üyeliği” ve eşdeğer sonuçlar doğuran “irtibat ve iltisaklı </w:t>
      </w:r>
      <w:proofErr w:type="spellStart"/>
      <w:r w:rsidRPr="00492203">
        <w:rPr>
          <w:rFonts w:ascii="Arial Narrow" w:eastAsia="Times New Roman" w:hAnsi="Arial Narrow" w:cs="Times New Roman"/>
          <w:szCs w:val="24"/>
          <w:lang w:val="tr-TR"/>
        </w:rPr>
        <w:t>olmak”tır</w:t>
      </w:r>
      <w:proofErr w:type="spellEnd"/>
      <w:r w:rsidRPr="00492203">
        <w:rPr>
          <w:rFonts w:ascii="Arial Narrow" w:eastAsia="Times New Roman" w:hAnsi="Arial Narrow" w:cs="Times New Roman"/>
          <w:szCs w:val="24"/>
          <w:lang w:val="tr-TR"/>
        </w:rPr>
        <w:t xml:space="preserve">. (ii) başvurucu karalayıcı içerikli bir karar ve ekindeki listede “terör örgütü mensubu” olarak ilan edilmiştir. (iii) ömür boyu kamu görevinden ve diğer kamu hizmetlerinden menedilmiş ve özel sektörde çalışma imkânı da ortadan kaldırılmıştır. (iv) ayrıca ihraç tedbirleri münferit olmayıp, binlerce hâkim/savcı ve kamu görevlisine aynı genelleyici suçlamalarla topluca uygulanmıştır. </w:t>
      </w:r>
    </w:p>
    <w:p w14:paraId="7CACD0A3"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Kamu hizmetinden yasaklılık TCK m.53’te </w:t>
      </w:r>
      <w:proofErr w:type="spellStart"/>
      <w:r w:rsidRPr="00492203">
        <w:rPr>
          <w:rFonts w:ascii="Arial Narrow" w:eastAsia="Times New Roman" w:hAnsi="Arial Narrow" w:cs="Times New Roman"/>
          <w:szCs w:val="24"/>
          <w:lang w:val="tr-TR"/>
        </w:rPr>
        <w:t>fer’î</w:t>
      </w:r>
      <w:proofErr w:type="spellEnd"/>
      <w:r w:rsidRPr="00492203">
        <w:rPr>
          <w:rFonts w:ascii="Arial Narrow" w:eastAsia="Times New Roman" w:hAnsi="Arial Narrow" w:cs="Times New Roman"/>
          <w:szCs w:val="24"/>
          <w:lang w:val="tr-TR"/>
        </w:rPr>
        <w:t xml:space="preserve"> ceza, Devlet Memurları Kanunu m.125/e’de ise en ağır disiplin cezası olarak öngörülmüştür. Dolayısıyla meslekten çıkarma, yalnızca idari bir tedbir olmayıp, Türk hukukuna göre de ceza niteliği taşıyan ağır ve süresiz bir yaptırımdır. AİHM, Polonya’daki </w:t>
      </w:r>
      <w:proofErr w:type="spellStart"/>
      <w:r w:rsidRPr="00492203">
        <w:rPr>
          <w:rFonts w:ascii="Arial Narrow" w:eastAsia="Times New Roman" w:hAnsi="Arial Narrow" w:cs="Times New Roman"/>
          <w:szCs w:val="24"/>
          <w:lang w:val="tr-TR"/>
        </w:rPr>
        <w:t>lustration</w:t>
      </w:r>
      <w:proofErr w:type="spellEnd"/>
      <w:r w:rsidRPr="00492203">
        <w:rPr>
          <w:rFonts w:ascii="Arial Narrow" w:eastAsia="Times New Roman" w:hAnsi="Arial Narrow" w:cs="Times New Roman"/>
          <w:szCs w:val="24"/>
          <w:lang w:val="tr-TR"/>
        </w:rPr>
        <w:t xml:space="preserve"> davalarında (</w:t>
      </w:r>
      <w:proofErr w:type="spellStart"/>
      <w:r w:rsidRPr="00492203">
        <w:rPr>
          <w:rFonts w:ascii="Arial Narrow" w:eastAsia="Times New Roman" w:hAnsi="Arial Narrow" w:cs="Times New Roman"/>
          <w:szCs w:val="24"/>
          <w:lang w:val="tr-TR"/>
        </w:rPr>
        <w:t>Matyjek</w:t>
      </w:r>
      <w:proofErr w:type="spellEnd"/>
      <w:r w:rsidRPr="00492203">
        <w:rPr>
          <w:rFonts w:ascii="Arial Narrow" w:eastAsia="Times New Roman" w:hAnsi="Arial Narrow" w:cs="Times New Roman"/>
          <w:szCs w:val="24"/>
          <w:lang w:val="tr-TR"/>
        </w:rPr>
        <w:t xml:space="preserve"> §§49-58; </w:t>
      </w:r>
      <w:proofErr w:type="spellStart"/>
      <w:r w:rsidRPr="00492203">
        <w:rPr>
          <w:rFonts w:ascii="Arial Narrow" w:eastAsia="Times New Roman" w:hAnsi="Arial Narrow" w:cs="Times New Roman"/>
          <w:szCs w:val="24"/>
          <w:lang w:val="tr-TR"/>
        </w:rPr>
        <w:t>Bobek</w:t>
      </w:r>
      <w:proofErr w:type="spellEnd"/>
      <w:r w:rsidRPr="00492203">
        <w:rPr>
          <w:rFonts w:ascii="Arial Narrow" w:eastAsia="Times New Roman" w:hAnsi="Arial Narrow" w:cs="Times New Roman"/>
          <w:szCs w:val="24"/>
          <w:lang w:val="tr-TR"/>
        </w:rPr>
        <w:t xml:space="preserve"> §54), hapis cezası içermeyen 10 yıllık kamu görevinden men yaptırımlarını dahi, isnadın mahiyeti, damgalama etkisi ve yaptırımın ağırlığı nedeniyle cezai nitelikte saymış ve adil yargılanma hakkının ihlal edildiğine karar vermiştir. Türkiye’deki uygulama, daha da ağırdır: OHAL KHK’leri doğrudan suç isnadı içeren ifadelerle başvurucuyu kamuoyu önünde “terör örgütü </w:t>
      </w:r>
      <w:r w:rsidRPr="00492203">
        <w:rPr>
          <w:rFonts w:ascii="Arial Narrow" w:eastAsia="Times New Roman" w:hAnsi="Arial Narrow" w:cs="Times New Roman"/>
          <w:szCs w:val="24"/>
          <w:lang w:val="tr-TR"/>
        </w:rPr>
        <w:lastRenderedPageBreak/>
        <w:t>mensubu” olarak damgalamış, ömür boyu kamu hizmetinden men ve özel sektörde fiilen çalışma yasağı sonucunu doğurmuştur. Üstelik Anayasa Mahkemesi (AYM) de “</w:t>
      </w:r>
      <w:proofErr w:type="gramStart"/>
      <w:r w:rsidRPr="00492203">
        <w:rPr>
          <w:rFonts w:ascii="Arial Narrow" w:eastAsia="Times New Roman" w:hAnsi="Arial Narrow" w:cs="Times New Roman"/>
          <w:szCs w:val="24"/>
          <w:lang w:val="tr-TR"/>
        </w:rPr>
        <w:t>üyelik</w:t>
      </w:r>
      <w:proofErr w:type="gramEnd"/>
      <w:r w:rsidRPr="00492203">
        <w:rPr>
          <w:rFonts w:ascii="Arial Narrow" w:eastAsia="Times New Roman" w:hAnsi="Arial Narrow" w:cs="Times New Roman"/>
          <w:szCs w:val="24"/>
          <w:lang w:val="tr-TR"/>
        </w:rPr>
        <w:t>/mensubiyet” ibaresinin masumiyet karinesini ihlal ettiğini tespit etmiştir (E:2018/81, 24.06.2021). Bu koşullar altında, başvurucuya uygulanan tedbirin Engel kriterleri uyarınca cezai nitelik taşıdığı açıktır ve AİHS m.6’nın tüm güvencelerinin uygulanması zorunludur.</w:t>
      </w:r>
    </w:p>
    <w:p w14:paraId="0CCD0AAF" w14:textId="77777777" w:rsidR="00492203" w:rsidRPr="00492203" w:rsidRDefault="00492203" w:rsidP="00492203">
      <w:pPr>
        <w:pStyle w:val="Heading2"/>
        <w:rPr>
          <w:rFonts w:ascii="Arial Narrow" w:hAnsi="Arial Narrow" w:cs="Times New Roman"/>
          <w:szCs w:val="24"/>
        </w:rPr>
      </w:pPr>
      <w:r w:rsidRPr="00492203">
        <w:rPr>
          <w:rFonts w:ascii="Arial Narrow" w:hAnsi="Arial Narrow" w:cs="Times New Roman"/>
          <w:szCs w:val="24"/>
        </w:rPr>
        <w:t xml:space="preserve">AİHS m.6 § </w:t>
      </w:r>
      <w:proofErr w:type="gramStart"/>
      <w:r w:rsidRPr="00492203">
        <w:rPr>
          <w:rFonts w:ascii="Arial Narrow" w:hAnsi="Arial Narrow" w:cs="Times New Roman"/>
          <w:szCs w:val="24"/>
        </w:rPr>
        <w:t>1 -</w:t>
      </w:r>
      <w:proofErr w:type="gramEnd"/>
      <w:r w:rsidRPr="00492203">
        <w:rPr>
          <w:rFonts w:ascii="Arial Narrow" w:hAnsi="Arial Narrow" w:cs="Times New Roman"/>
          <w:szCs w:val="24"/>
        </w:rPr>
        <w:t xml:space="preserve"> Bağımsız ve tarafsız mahkemede yargılanma hakkı ihlal edilmiştir.</w:t>
      </w:r>
    </w:p>
    <w:p w14:paraId="311F8CA7"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Türkiye’de yargı bağımsızlığı ve tarafsızlığı özellikle 15 Temmuz 2016 darbe girişimi öncesi ve sonrasında, bu ilke ciddi biçimde zedelenmiştir. İdari yargının en üst organı olan Danıştay, özellikle hâkim ve savcıların meslekten çıkarılma davalarına bakan 5. Daire ve temyiz merci olan İdari Dava Daireleri Kurulu (İDDK), bu dönemde yürütmenin etkisi altında yeniden yapılandırılmıştır. 2014 yılında HS(Y)K seçimlerini iktidar tarafından desteklenen Yargıda Birlik Platformu’nun (YBP) kazanmasıyla yüksek yargı üyeliklerinde objektif kriterler yerine siyasi sadakat esas alınmış, bu durum Avrupa Komisyonu raporlarına da yansımış ve yüksek mahkemelerin yürütmenin araçları haline geldiği yönünde ciddi kaygılar dile getirilmiştir (Örneğin bkz. 2016 İlerleme Raporu).</w:t>
      </w:r>
      <w:r w:rsidRPr="00492203">
        <w:rPr>
          <w:rStyle w:val="FootnoteReference"/>
          <w:rFonts w:ascii="Arial Narrow" w:hAnsi="Arial Narrow" w:cs="Times New Roman"/>
          <w:szCs w:val="24"/>
          <w:lang w:val="tr-TR"/>
        </w:rPr>
        <w:footnoteReference w:id="1"/>
      </w:r>
      <w:r w:rsidRPr="00492203">
        <w:rPr>
          <w:rFonts w:ascii="Arial Narrow" w:hAnsi="Arial Narrow" w:cs="Times New Roman"/>
          <w:szCs w:val="24"/>
          <w:lang w:val="tr-TR"/>
        </w:rPr>
        <w:t xml:space="preserve"> Liyakat yerine iktidara yakınlık ve “Gülen Hareketi’ne karşı mücadele” gibi siyasi ölçütlerin belirleyici hale gelmesi, yargı bağımsızlığını temelden sarsmış ve Danıştay’ın tarafsızlığına dair objektif kuşkular doğurmuştur.</w:t>
      </w:r>
    </w:p>
    <w:p w14:paraId="2263BB89"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 xml:space="preserve">12 Aralık 2014 tarihli 6572 sayılı Yasa ile Danıştay’da yeni daireler oluşturulup iş bölümü yeniden düzenlenmiş, hemen ardından </w:t>
      </w:r>
      <w:proofErr w:type="gramStart"/>
      <w:r w:rsidRPr="00492203">
        <w:rPr>
          <w:rFonts w:ascii="Arial Narrow" w:hAnsi="Arial Narrow" w:cs="Times New Roman"/>
          <w:szCs w:val="24"/>
          <w:lang w:val="tr-TR"/>
        </w:rPr>
        <w:t>HS(</w:t>
      </w:r>
      <w:proofErr w:type="gramEnd"/>
      <w:r w:rsidRPr="00492203">
        <w:rPr>
          <w:rFonts w:ascii="Arial Narrow" w:hAnsi="Arial Narrow" w:cs="Times New Roman"/>
          <w:szCs w:val="24"/>
          <w:lang w:val="tr-TR"/>
        </w:rPr>
        <w:t xml:space="preserve">Y)K tarafından çoğunluğu YBP üyesi 33 yeni üye seçilmiştir. Anayasa ve Danıştay Kanunu gereği üyelerin dörtte birini doğrudan atama yetkisine sahip olan Cumhurbaşkanı, bu süreçte yürütmeye bağlı görev yapan ve hatta bazıları hukukçu olmayan 9 bürokratı Danıştay üyesi olarak atamıştır. Üyelerin dörtte üçünün </w:t>
      </w:r>
      <w:r w:rsidRPr="00492203">
        <w:rPr>
          <w:rFonts w:ascii="Arial Narrow" w:hAnsi="Arial Narrow" w:cs="Times New Roman"/>
          <w:szCs w:val="24"/>
          <w:lang w:val="tr-TR"/>
        </w:rPr>
        <w:lastRenderedPageBreak/>
        <w:t xml:space="preserve">yürütme kontrolündeki </w:t>
      </w:r>
      <w:proofErr w:type="gramStart"/>
      <w:r w:rsidRPr="00492203">
        <w:rPr>
          <w:rFonts w:ascii="Arial Narrow" w:hAnsi="Arial Narrow" w:cs="Times New Roman"/>
          <w:szCs w:val="24"/>
          <w:lang w:val="tr-TR"/>
        </w:rPr>
        <w:t>HS(</w:t>
      </w:r>
      <w:proofErr w:type="gramEnd"/>
      <w:r w:rsidRPr="00492203">
        <w:rPr>
          <w:rFonts w:ascii="Arial Narrow" w:hAnsi="Arial Narrow" w:cs="Times New Roman"/>
          <w:szCs w:val="24"/>
          <w:lang w:val="tr-TR"/>
        </w:rPr>
        <w:t>Y)K, kalanının da partili Cumhurbaşkanı tarafından belirlenmesi, Danıştay’ın bağımsız bir mahkeme olma niteliğini fiilen ortadan kaldırmıştır.</w:t>
      </w:r>
    </w:p>
    <w:p w14:paraId="671E3A94"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 xml:space="preserve">15 Temmuz darbe girişiminin ertesi günü, Anayasa ve yasaların öngördüğü güvenceler yok sayılarak 48 Danıştay, 140 Yargıtay ve 2 AYM üyesi gözaltına alınıp tutuklanmıştır. Darbenin hemen ardından ilan edilen OHAL döneminde, 23 Temmuz 2016 tarihli 6723 sayılı Kanun ile Danıştay’ın üye sayısı 195’ten 116’ya düşürülmüş, mevcut üyelerin görevleri sona erdirilmiş, ardından </w:t>
      </w:r>
      <w:proofErr w:type="gramStart"/>
      <w:r w:rsidRPr="00492203">
        <w:rPr>
          <w:rFonts w:ascii="Arial Narrow" w:hAnsi="Arial Narrow" w:cs="Times New Roman"/>
          <w:szCs w:val="24"/>
          <w:lang w:val="tr-TR"/>
        </w:rPr>
        <w:t>HS(</w:t>
      </w:r>
      <w:proofErr w:type="gramEnd"/>
      <w:r w:rsidRPr="00492203">
        <w:rPr>
          <w:rFonts w:ascii="Arial Narrow" w:hAnsi="Arial Narrow" w:cs="Times New Roman"/>
          <w:szCs w:val="24"/>
          <w:lang w:val="tr-TR"/>
        </w:rPr>
        <w:t>Y)K tarafından 75 yeni üye seçilerek Danıştay’ın yapısı tamamen değiştirilmiştir.</w:t>
      </w:r>
    </w:p>
    <w:p w14:paraId="0DBA285E"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Bu tasfiye, hâkimlik teminatı olan görev süresi güvencesini yok etmiş, YBP çizgisindeki HS(Y)</w:t>
      </w:r>
      <w:proofErr w:type="spellStart"/>
      <w:r w:rsidRPr="00492203">
        <w:rPr>
          <w:rFonts w:ascii="Arial Narrow" w:hAnsi="Arial Narrow" w:cs="Times New Roman"/>
          <w:szCs w:val="24"/>
          <w:lang w:val="tr-TR"/>
        </w:rPr>
        <w:t>K’nın</w:t>
      </w:r>
      <w:proofErr w:type="spellEnd"/>
      <w:r w:rsidRPr="00492203">
        <w:rPr>
          <w:rFonts w:ascii="Arial Narrow" w:hAnsi="Arial Narrow" w:cs="Times New Roman"/>
          <w:szCs w:val="24"/>
          <w:lang w:val="tr-TR"/>
        </w:rPr>
        <w:t xml:space="preserve"> belirlediği üyelerle Danıştay siyasi iktidarın denetimine girmiştir. 6723 sayılı Kanun ayrıca hâkim ve savcıların meslekten çıkarılma uyuşmazlıklarını inceleme görevini 16. Daire’den alarak 29 Aralık 2016’da kurulan 5. Daire’ye vermiş, temyiz merci olarak </w:t>
      </w:r>
      <w:proofErr w:type="spellStart"/>
      <w:r w:rsidRPr="00492203">
        <w:rPr>
          <w:rFonts w:ascii="Arial Narrow" w:hAnsi="Arial Narrow" w:cs="Times New Roman"/>
          <w:szCs w:val="24"/>
          <w:lang w:val="tr-TR"/>
        </w:rPr>
        <w:t>İDDK’yi</w:t>
      </w:r>
      <w:proofErr w:type="spellEnd"/>
      <w:r w:rsidRPr="00492203">
        <w:rPr>
          <w:rFonts w:ascii="Arial Narrow" w:hAnsi="Arial Narrow" w:cs="Times New Roman"/>
          <w:szCs w:val="24"/>
          <w:lang w:val="tr-TR"/>
        </w:rPr>
        <w:t xml:space="preserve"> belirlemiştir.</w:t>
      </w:r>
    </w:p>
    <w:p w14:paraId="39AB6781"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 xml:space="preserve">2017 Anayasa değişikliğiyle Cumhurbaşkanlığı Hükümet Sistemi’ne geçilmiş, yürütme yetkisi tamamen Cumhurbaşkanı’nda toplanmıştır. Bakanlar Kurulu kaldırılmış, böylece Danıştay artık doğrudan Cumhurbaşkanı kararlarını ilk derece mahkemesi olarak inceleyen merci haline gelmiştir. </w:t>
      </w:r>
      <w:proofErr w:type="gramStart"/>
      <w:r w:rsidRPr="00492203">
        <w:rPr>
          <w:rFonts w:ascii="Arial Narrow" w:hAnsi="Arial Narrow" w:cs="Times New Roman"/>
          <w:szCs w:val="24"/>
          <w:lang w:val="tr-TR"/>
        </w:rPr>
        <w:t>HS(</w:t>
      </w:r>
      <w:proofErr w:type="gramEnd"/>
      <w:r w:rsidRPr="00492203">
        <w:rPr>
          <w:rFonts w:ascii="Arial Narrow" w:hAnsi="Arial Narrow" w:cs="Times New Roman"/>
          <w:szCs w:val="24"/>
          <w:lang w:val="tr-TR"/>
        </w:rPr>
        <w:t xml:space="preserve">Y)K, Hakimler ve Savcılar Kurulu (HSK) adını alarak yapısı kökten değiştirilmiştir. Üyelerinin altısının TBMM, yedisinin Cumhurbaşkanı tarafından seçileceği, Adalet Bakanı ve Müsteşarının doğal üye olacağı düzenlenmiştir. Böylece HSK, tamamen yürütme ve yasama çoğunluğunun kontrolüne bırakılmış; Danıştay üyelerinin seçiminde siyasi iktidar tartışmasız belirleyici hale getirilmiştir. Anayasa’da Danıştay üyelerinin üçte dördünün HSK, dörtte birinin Cumhurbaşkanı tarafından seçileceği hükmü (m. 155) korunmuş görünse de </w:t>
      </w:r>
      <w:proofErr w:type="spellStart"/>
      <w:r w:rsidRPr="00492203">
        <w:rPr>
          <w:rFonts w:ascii="Arial Narrow" w:hAnsi="Arial Narrow" w:cs="Times New Roman"/>
          <w:szCs w:val="24"/>
          <w:lang w:val="tr-TR"/>
        </w:rPr>
        <w:t>HSK’nın</w:t>
      </w:r>
      <w:proofErr w:type="spellEnd"/>
      <w:r w:rsidRPr="00492203">
        <w:rPr>
          <w:rFonts w:ascii="Arial Narrow" w:hAnsi="Arial Narrow" w:cs="Times New Roman"/>
          <w:szCs w:val="24"/>
          <w:lang w:val="tr-TR"/>
        </w:rPr>
        <w:t xml:space="preserve"> siyasal iktidarca şekillendirilmesi çoğulculuk görüntüsünü ortadan kaldırmıştır. Böylece hem denetlediği makam hem de üyelerini belirleyen makam aynı siyasi otoriteye bağlanmış, kuvvetler ayrılığı ciddi biçimde zedelenmiştir.</w:t>
      </w:r>
    </w:p>
    <w:p w14:paraId="7FAE9308" w14:textId="77777777" w:rsidR="00492203" w:rsidRPr="00492203" w:rsidRDefault="00492203" w:rsidP="00492203">
      <w:pPr>
        <w:pStyle w:val="ListParagraph"/>
        <w:numPr>
          <w:ilvl w:val="0"/>
          <w:numId w:val="1"/>
        </w:numPr>
        <w:tabs>
          <w:tab w:val="left" w:pos="284"/>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Bunu takiben, 24 Temmuz 2017 tarihli 696 sayılı OHAL KHK’sıyla Danıştay’a 12 yeni üyelik kadrosu ihdas edilmiş, seçimler 16 Temmuz 2018’de yapılmıştır. HSK kriterleri açıklamasa da Anadolu Ajansı, seçilenlerin çoğunun “FETÖ ile mücadelede görev almış” isimlerden oluştuğunu duyurmuş, hatta bazı üyelerin baktıkları davaları örnek göstermiştir.</w:t>
      </w:r>
      <w:r w:rsidRPr="00492203">
        <w:rPr>
          <w:rStyle w:val="FootnoteReference"/>
          <w:rFonts w:ascii="Arial Narrow" w:hAnsi="Arial Narrow" w:cs="Times New Roman"/>
          <w:szCs w:val="24"/>
          <w:lang w:val="tr-TR"/>
        </w:rPr>
        <w:footnoteReference w:id="2"/>
      </w:r>
      <w:r w:rsidRPr="00492203">
        <w:rPr>
          <w:rFonts w:ascii="Arial Narrow" w:hAnsi="Arial Narrow" w:cs="Times New Roman"/>
          <w:szCs w:val="24"/>
          <w:lang w:val="tr-TR"/>
        </w:rPr>
        <w:t xml:space="preserve"> Bu durum, Danıştay üyeliklerinde liyakat yerine yürütmenin politik tercihleri doğrultusunda belirlemelerin yapıldığını açıkça ortaya koymaktadır.</w:t>
      </w:r>
    </w:p>
    <w:p w14:paraId="674B8B92"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lastRenderedPageBreak/>
        <w:t xml:space="preserve">Hem siyasi iktidara yakın üye profili hem verdiği kararlar hem de üyelerin yaptıkları açıklamalar Danıştay 5. Dairesinin objektif tarafsızlık görünümünü ortadan kaldırmıştır. Örneğin, Yunus </w:t>
      </w:r>
      <w:proofErr w:type="spellStart"/>
      <w:r w:rsidRPr="00492203">
        <w:rPr>
          <w:rFonts w:ascii="Arial Narrow" w:hAnsi="Arial Narrow" w:cs="Times New Roman"/>
          <w:szCs w:val="24"/>
          <w:lang w:val="tr-TR"/>
        </w:rPr>
        <w:t>Aykın</w:t>
      </w:r>
      <w:proofErr w:type="spellEnd"/>
      <w:r w:rsidRPr="00492203">
        <w:rPr>
          <w:rFonts w:ascii="Arial Narrow" w:hAnsi="Arial Narrow" w:cs="Times New Roman"/>
          <w:szCs w:val="24"/>
          <w:lang w:val="tr-TR"/>
        </w:rPr>
        <w:t xml:space="preserve"> darbeden aylar sonra yaptığı konuşmalarda “doğru liderlik” ve “ülkenin beka sorunu” gibi siyasi söylemlerle tarafsızlığı konusunda ciddi kuşkular uyandırmıştır.</w:t>
      </w:r>
      <w:r w:rsidRPr="00492203">
        <w:rPr>
          <w:rStyle w:val="FootnoteReference"/>
          <w:rFonts w:ascii="Arial Narrow" w:hAnsi="Arial Narrow" w:cs="Times New Roman"/>
          <w:szCs w:val="24"/>
          <w:lang w:val="tr-TR"/>
        </w:rPr>
        <w:footnoteReference w:id="3"/>
      </w:r>
      <w:r w:rsidRPr="00492203">
        <w:rPr>
          <w:rFonts w:ascii="Arial Narrow" w:hAnsi="Arial Narrow" w:cs="Times New Roman"/>
          <w:szCs w:val="24"/>
          <w:lang w:val="tr-TR"/>
        </w:rPr>
        <w:t xml:space="preserve"> Cumhurbaşkanı tarafından atanan ve hukukçu olmayan İsmail Kalender ile daha önce AKP’den milletvekili aday adayı olan Cevdet Malkoç’un üyelikleri de bağımsızlık ve tarafsızlık sorununa dair endişeleri derinleştirmiştir. Benzer şekilde, Adalet Bakanlığı Müsteşar Yardımcısı ve YBP Başkanı iken Danıştay’a seçilen Musa Heybet, 2017-2018 yıllarında yaptığı açıklamalarda açıkça “FETÖ ile mücadele”, “darbe yargılamaları”, “milli irade” ve “tasfiyelerle gelen huzur” gibi ifadeler kullanmıştır. Bu söylemler, davalara ön yargılı yaklaşımın ve yürütmenin söylemleriyle paralel hareket ettiğinin göstergesi olmuştur.</w:t>
      </w:r>
      <w:r w:rsidRPr="00492203">
        <w:rPr>
          <w:rStyle w:val="FootnoteReference"/>
          <w:rFonts w:ascii="Arial Narrow" w:hAnsi="Arial Narrow" w:cs="Times New Roman"/>
          <w:szCs w:val="24"/>
          <w:lang w:val="tr-TR"/>
        </w:rPr>
        <w:footnoteReference w:id="4"/>
      </w:r>
      <w:r w:rsidRPr="00492203">
        <w:rPr>
          <w:rFonts w:ascii="Arial Narrow" w:hAnsi="Arial Narrow" w:cs="Times New Roman"/>
          <w:szCs w:val="24"/>
          <w:lang w:val="tr-TR"/>
        </w:rPr>
        <w:t xml:space="preserve"> Görüldüğü üzere, 5. Daire üyelerinin bizzat kendi beyanları, tarafsızlıkları konusunda haklı şüphelere yol açmıştır.</w:t>
      </w:r>
    </w:p>
    <w:p w14:paraId="58364F02"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proofErr w:type="spellStart"/>
      <w:r w:rsidRPr="00492203">
        <w:rPr>
          <w:rFonts w:ascii="Arial Narrow" w:hAnsi="Arial Narrow" w:cs="Times New Roman"/>
          <w:szCs w:val="24"/>
          <w:lang w:val="tr-TR"/>
        </w:rPr>
        <w:t>İDDK’nın</w:t>
      </w:r>
      <w:proofErr w:type="spellEnd"/>
      <w:r w:rsidRPr="00492203">
        <w:rPr>
          <w:rFonts w:ascii="Arial Narrow" w:hAnsi="Arial Narrow" w:cs="Times New Roman"/>
          <w:szCs w:val="24"/>
          <w:lang w:val="tr-TR"/>
        </w:rPr>
        <w:t xml:space="preserve"> tarafsız olmadığına dair somut örneklerden biri de hükümete yakın Sabah gazetesinin 450 yargı mensubunun Danıştay 5. Dairesi tarafından göreve iade edildiği ve HSK itirazlarının </w:t>
      </w:r>
      <w:proofErr w:type="spellStart"/>
      <w:r w:rsidRPr="00492203">
        <w:rPr>
          <w:rFonts w:ascii="Arial Narrow" w:hAnsi="Arial Narrow" w:cs="Times New Roman"/>
          <w:szCs w:val="24"/>
          <w:lang w:val="tr-TR"/>
        </w:rPr>
        <w:t>İDDK’da</w:t>
      </w:r>
      <w:proofErr w:type="spellEnd"/>
      <w:r w:rsidRPr="00492203">
        <w:rPr>
          <w:rFonts w:ascii="Arial Narrow" w:hAnsi="Arial Narrow" w:cs="Times New Roman"/>
          <w:szCs w:val="24"/>
          <w:lang w:val="tr-TR"/>
        </w:rPr>
        <w:t xml:space="preserve"> gündeme alınmadığı yönündeki haberidir.</w:t>
      </w:r>
      <w:r w:rsidRPr="00492203">
        <w:rPr>
          <w:rStyle w:val="FootnoteReference"/>
          <w:rFonts w:ascii="Arial Narrow" w:hAnsi="Arial Narrow" w:cs="Times New Roman"/>
          <w:szCs w:val="24"/>
          <w:lang w:val="tr-TR"/>
        </w:rPr>
        <w:footnoteReference w:id="5"/>
      </w:r>
      <w:r w:rsidRPr="00492203">
        <w:rPr>
          <w:rFonts w:ascii="Arial Narrow" w:hAnsi="Arial Narrow" w:cs="Times New Roman"/>
          <w:szCs w:val="24"/>
          <w:lang w:val="tr-TR"/>
        </w:rPr>
        <w:t xml:space="preserve"> Bu haber üzerine Cumhurbaşkanı Erdoğan, Danıştay’ın kararlarına tepki göstermiş ve sürecin takipçisi olacaklarını açıklamıştır.</w:t>
      </w:r>
      <w:r w:rsidRPr="00492203">
        <w:rPr>
          <w:rStyle w:val="FootnoteReference"/>
          <w:rFonts w:ascii="Arial Narrow" w:hAnsi="Arial Narrow" w:cs="Times New Roman"/>
          <w:szCs w:val="24"/>
          <w:lang w:val="tr-TR"/>
        </w:rPr>
        <w:footnoteReference w:id="6"/>
      </w:r>
      <w:r w:rsidRPr="00492203">
        <w:rPr>
          <w:rFonts w:ascii="Arial Narrow" w:hAnsi="Arial Narrow" w:cs="Times New Roman"/>
          <w:szCs w:val="24"/>
          <w:lang w:val="tr-TR"/>
        </w:rPr>
        <w:t xml:space="preserve"> Tepkinin ardından Danıştay internet sitesinde bir açıklama yayımlayıp kısa süre sonra kaldırmış, HSK ise iade edilen 387 isim hakkında yeniden inceleme başlatmıştır. Bu süreçte, 5. Daire’nin verdiği iade kararlarının büyük çoğunluğu İDDK tarafından bozulmuştur. Bu gelişmeler, yürütmenin baskısıyla hareket eden </w:t>
      </w:r>
      <w:proofErr w:type="spellStart"/>
      <w:r w:rsidRPr="00492203">
        <w:rPr>
          <w:rFonts w:ascii="Arial Narrow" w:hAnsi="Arial Narrow" w:cs="Times New Roman"/>
          <w:szCs w:val="24"/>
          <w:lang w:val="tr-TR"/>
        </w:rPr>
        <w:t>İDDK’nın</w:t>
      </w:r>
      <w:proofErr w:type="spellEnd"/>
      <w:r w:rsidRPr="00492203">
        <w:rPr>
          <w:rFonts w:ascii="Arial Narrow" w:hAnsi="Arial Narrow" w:cs="Times New Roman"/>
          <w:szCs w:val="24"/>
          <w:lang w:val="tr-TR"/>
        </w:rPr>
        <w:t xml:space="preserve"> bağımsız ve tarafsız bir merci olmadığını açıkça göstermektedir.</w:t>
      </w:r>
    </w:p>
    <w:p w14:paraId="3681D9F1"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15 Temmuz öncesi ve sonrası verilen kararların karşılaştırılması, Danıştay içtihatlarında köklü bir kırılma olduğunu göstermektedir. 2010-2015 döneminde disiplin hukukunun temel güvenceleri titizlikle uygulanırken, 2016 sonrasında özellikle “FETÖ/PDY ile iltisak ve irtibat” gerekçesiyle ihraç işlemlerinde bu güvenceler tamamıyla terk edilmiştir.</w:t>
      </w:r>
      <w:bookmarkStart w:id="0" w:name="_Hlk209701395"/>
    </w:p>
    <w:p w14:paraId="2E92C0B4"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2010-2015 arası</w:t>
      </w:r>
      <w:bookmarkEnd w:id="0"/>
      <w:r w:rsidRPr="00492203">
        <w:rPr>
          <w:rFonts w:ascii="Arial Narrow" w:hAnsi="Arial Narrow" w:cs="Times New Roman"/>
          <w:szCs w:val="24"/>
          <w:lang w:val="tr-TR"/>
        </w:rPr>
        <w:t xml:space="preserve">nda Danıştay, suçun şahsiliği ilkesine mutlak bağlı kalmış, kamu görevlilerinin eşleri veya yakınlarının fiillerini davacının mesleki sorumluluğuna yansıtmamış; </w:t>
      </w:r>
      <w:r w:rsidRPr="00492203">
        <w:rPr>
          <w:rFonts w:ascii="Arial Narrow" w:hAnsi="Arial Narrow" w:cs="Times New Roman"/>
          <w:szCs w:val="24"/>
          <w:lang w:val="tr-TR"/>
        </w:rPr>
        <w:lastRenderedPageBreak/>
        <w:t>eşin örgütsel bağlantısı gibi durumları delil kabul etmemiştir (Bkz. Danıştay İDDK, E.2013/3683, 09.11.2015). Aynı dönemde, ceza mahkemelerinden verilen beraat kararlarına da bağlayıcılık tanınmış; ceza yargılamasında kişinin suçsuz olduğu kabul edilmişse, idari yargıda bu tespite bağlı kalmıştır. Savunma hakkı da mutlak güvence sayılmış, savunma alınmadan yapılan disiplin veya ihraç işlemleri iptal edilmiştir. Danıştay, savunmanın şekli değil esasa ilişkin bir güvence olduğunu açıkça belirtmiştir (Bkz. Danıştay İDDK, E.2012/1517). OHAL döneminde ise savunma hakkının “telafi edilebilir” görülmesiyle tamamen zıt bir yaklaşım sergilenmiştir. Ayrıca, bu dönemde delil standardı yüksek tutulmuş, meslekten çıkarma gibi ağır yaptırımlar için “her türlü şüpheden uzak, kesin ve inandırıcı delil” aranmış, söylenti veya soyut kanaatlerle verilen işlemler iptal edilmiştir (Bkz. Danıştay 5. Daire E.2011/4321).</w:t>
      </w:r>
    </w:p>
    <w:p w14:paraId="4EF77E2D"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2016 sonrası Danıştay içtihatları, meslekten çıkarma işlemlerini disiplin cezası olmaktan çıkarıp “terör örgütleriyle veya milli güvenliğe karşı faaliyetlerde bulunan yapılarla irtibat ve iltisak” gerekçesiyle alınan “nihai sonuç doğuran olağanüstü tedbir” olarak tanımlamıştır (Bkz. Danıştay 5. Daire., E. 2016/8196, 04.10.2016). Bu yaklaşım, önceki dönemdeki yüksek delil standardı ve hak güvencelerinden köklü bir kopuşu temsil etmektedir.</w:t>
      </w:r>
    </w:p>
    <w:p w14:paraId="07B05473"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Bu dönemde suçun şahsiliği ilkesi de terk edilmiştir. Somut delil bulunmadığı hallerde eşin örgütsel bağlantısı davacıya yüklenmiş, “hayatın olağan akışına göre eşin durumunu bilmesi gerekirdi” gerekçesiyle meslekten çıkarma kararlarına onay verilmiştir (Bkz. Danıştay 5. Daire, E.2017/14956, 27.06.2022). Bu uygulama, yukarıda değinilen eşin fiillerinin davacıya yüklenemeyeceğini vurgulayan içtihatlarla tamamen çelişmektedir. Yine, ceza yargılamasında beraat eden kişiler hakkında Danıştay, beraat kararını bağlayıcı görmemiş; “örgüt evinde kalmak” ve bazı sosyal ilişkileri “iltisak” için yeterli sayarak ihraç kararlarını onamıştır (Bkz. Danıştay 5. Daire, E.2017/7311, 17.10.2022). Böylece beraatin disiplin yargısında fiilin sübut bulmadığını gösterdiği yönündeki önceki yaklaşım terk edilmiştir.</w:t>
      </w:r>
    </w:p>
    <w:p w14:paraId="12A479ED"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Bazı davalarda, hâkim/savcıların verdikleri kararlar örgütle irtibatın delili sayılmış, yargısal takdir hakkı hiçe sayılmıştır (Bkz. Danıştay 5. Daire, E.2018/3681, 01.12.2022; Danıştay İDDK, E.2022/2753, 11.12.2023). Bu yaklaşım, yargısal faaliyeti doğrudan suç delili olarak görmüş ve önceki dönemde iptal sebebi sayılan gerekçelerin ihraç için kullanılmasına yol açmıştır.</w:t>
      </w:r>
    </w:p>
    <w:p w14:paraId="4AE62AC6" w14:textId="5E519080" w:rsidR="00492203" w:rsidRPr="00492203" w:rsidRDefault="00001581"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Pr>
          <w:rFonts w:ascii="Arial Narrow" w:hAnsi="Arial Narrow" w:cs="Times New Roman"/>
          <w:szCs w:val="24"/>
          <w:lang w:val="tr-TR"/>
        </w:rPr>
        <w:t>İşbu başvurudaki gibi</w:t>
      </w:r>
      <w:r w:rsidR="004529E5">
        <w:rPr>
          <w:rFonts w:ascii="Arial Narrow" w:hAnsi="Arial Narrow" w:cs="Times New Roman"/>
          <w:szCs w:val="24"/>
          <w:lang w:val="tr-TR"/>
        </w:rPr>
        <w:t xml:space="preserve"> c</w:t>
      </w:r>
      <w:r w:rsidR="00492203" w:rsidRPr="00492203">
        <w:rPr>
          <w:rFonts w:ascii="Arial Narrow" w:hAnsi="Arial Narrow" w:cs="Times New Roman"/>
          <w:szCs w:val="24"/>
          <w:lang w:val="tr-TR"/>
        </w:rPr>
        <w:t xml:space="preserve">eza davaları kesinleşmeden de ihraç kararları verilmiş, yalnızca ankesörlü telefon kayıtları, Bank Asya hesap hareketleri veya tanık beyanları “iltisak” için yeterli görülmüştür (Bkz. Danıştay İDDK, E.2022/2527, 04.07.2023). Bu durum, Danıştay’ın </w:t>
      </w:r>
      <w:r w:rsidR="00492203" w:rsidRPr="00492203">
        <w:rPr>
          <w:rFonts w:ascii="Arial Narrow" w:hAnsi="Arial Narrow" w:cs="Times New Roman"/>
          <w:szCs w:val="24"/>
          <w:lang w:val="tr-TR"/>
        </w:rPr>
        <w:lastRenderedPageBreak/>
        <w:t>ceza ve idare yargısı arasındaki bağı kopardığını ve delil standardını olağanüstü biçimde düşürdüğünü göstermektedir. Ayrıca, beraat kararlarına rağmen, idari yargı açısından “iltisak ve irtibatın” farklı olduğu belirtilerek geçmişte “örgüt evlerinde kalma”, “kod adı kullanma” gibi olgular meslekten çıkarma için yeterli sayılmıştır (Bkz. Danıştay İDDK, E.2022/376, 05.02.2024). Bu yaklaşımla, bağımsız değerlendirme adı altında, beraat kararlarının bağlayıcılığı tamamen ortadan kaldırılmıştır.</w:t>
      </w:r>
    </w:p>
    <w:p w14:paraId="7B03D82D" w14:textId="77777777" w:rsidR="00492203" w:rsidRPr="00492203" w:rsidRDefault="00492203" w:rsidP="00492203">
      <w:pPr>
        <w:pStyle w:val="ListParagraph"/>
        <w:numPr>
          <w:ilvl w:val="0"/>
          <w:numId w:val="1"/>
        </w:numPr>
        <w:tabs>
          <w:tab w:val="left" w:pos="426"/>
        </w:tabs>
        <w:spacing w:before="0" w:after="0" w:line="360" w:lineRule="auto"/>
        <w:ind w:left="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AYM, </w:t>
      </w:r>
      <w:r w:rsidRPr="00492203">
        <w:rPr>
          <w:rFonts w:ascii="Arial Narrow" w:eastAsia="Times New Roman" w:hAnsi="Arial Narrow" w:cs="Times New Roman"/>
          <w:i/>
          <w:iCs/>
          <w:szCs w:val="24"/>
          <w:lang w:val="tr-TR"/>
        </w:rPr>
        <w:t>Yalçınkaya</w:t>
      </w:r>
      <w:r w:rsidRPr="00492203">
        <w:rPr>
          <w:rFonts w:ascii="Arial Narrow" w:eastAsia="Times New Roman" w:hAnsi="Arial Narrow" w:cs="Times New Roman"/>
          <w:szCs w:val="24"/>
          <w:lang w:val="tr-TR"/>
        </w:rPr>
        <w:t xml:space="preserve"> kararında ve binlerce benzer başvuruda görüldüğü üzere, özellikle Gülen Cemaati ile bağlantısı olan ya da öyle olduğu kabul edilen kişilerin neredeyse tüm başvurularında açık hak ihlallerini görmezden gelen sistematik bir yaklaşım sergilemiştir. Ayrıca, ihraç işlemine karşı yapılan başvurulara dair kararlarda imzası bulunan üyelerin birçoğu, geçmişte Adalet Bakanlığı ve HS(Y)</w:t>
      </w:r>
      <w:proofErr w:type="spellStart"/>
      <w:r w:rsidRPr="00492203">
        <w:rPr>
          <w:rFonts w:ascii="Arial Narrow" w:eastAsia="Times New Roman" w:hAnsi="Arial Narrow" w:cs="Times New Roman"/>
          <w:szCs w:val="24"/>
          <w:lang w:val="tr-TR"/>
        </w:rPr>
        <w:t>K’da</w:t>
      </w:r>
      <w:proofErr w:type="spellEnd"/>
      <w:r w:rsidRPr="00492203">
        <w:rPr>
          <w:rFonts w:ascii="Arial Narrow" w:eastAsia="Times New Roman" w:hAnsi="Arial Narrow" w:cs="Times New Roman"/>
          <w:szCs w:val="24"/>
          <w:lang w:val="tr-TR"/>
        </w:rPr>
        <w:t xml:space="preserve"> yürütmeye bağlı görevlerde bulunmuş, hükümete yakınlıkları ve taraflı açıklamalarıyla bilinen kişilerdir. </w:t>
      </w:r>
      <w:proofErr w:type="spellStart"/>
      <w:r w:rsidRPr="00492203">
        <w:rPr>
          <w:rFonts w:ascii="Arial Narrow" w:eastAsia="Times New Roman" w:hAnsi="Arial Narrow" w:cs="Times New Roman"/>
          <w:szCs w:val="24"/>
          <w:lang w:val="tr-TR"/>
        </w:rPr>
        <w:t>AİHM’in</w:t>
      </w:r>
      <w:proofErr w:type="spellEnd"/>
      <w:r w:rsidRPr="00492203">
        <w:rPr>
          <w:rFonts w:ascii="Arial Narrow" w:eastAsia="Times New Roman" w:hAnsi="Arial Narrow" w:cs="Times New Roman"/>
          <w:szCs w:val="24"/>
          <w:lang w:val="tr-TR"/>
        </w:rPr>
        <w:t xml:space="preserve"> bağımsızlık ve tarafsızlık ölçütleri bakımından, AYM üyelerinin çoğunluğunun hükümetle yakın siyasi bağları, tartışmalı terfileri, Gülen Cemaatine ve gerçek/varsayılan mensuplarına yönelik kriminalize edici açıklamaları nesnel tarafsızlığı zedelemektedir. Yargıtay 9. Ceza Dairesi’nin </w:t>
      </w:r>
      <w:r w:rsidRPr="00492203">
        <w:rPr>
          <w:rFonts w:ascii="Arial Narrow" w:eastAsia="Times New Roman" w:hAnsi="Arial Narrow" w:cs="Times New Roman"/>
          <w:i/>
          <w:iCs/>
          <w:szCs w:val="24"/>
          <w:lang w:val="tr-TR"/>
        </w:rPr>
        <w:t>Birol Erdem</w:t>
      </w:r>
      <w:r w:rsidRPr="00492203">
        <w:rPr>
          <w:rFonts w:ascii="Arial Narrow" w:eastAsia="Times New Roman" w:hAnsi="Arial Narrow" w:cs="Times New Roman"/>
          <w:szCs w:val="24"/>
          <w:lang w:val="tr-TR"/>
        </w:rPr>
        <w:t xml:space="preserve"> kararında (01/02/2021 tarihli, 2019/11 E. sayılı) belirtildiği üzere, bazı AYM üyeleri Yargıda Birlik Platformu sürecinde hâkim/savcıların fişlenmesinde rol almış, güvenlik temelli politikaları destekleyen beyanlarda bulunmuştur.</w:t>
      </w:r>
      <w:r w:rsidRPr="00492203">
        <w:rPr>
          <w:rStyle w:val="FootnoteReference"/>
          <w:rFonts w:ascii="Arial Narrow" w:eastAsia="Times New Roman" w:hAnsi="Arial Narrow" w:cs="Times New Roman"/>
          <w:szCs w:val="24"/>
          <w:lang w:val="tr-TR"/>
        </w:rPr>
        <w:footnoteReference w:id="7"/>
      </w:r>
    </w:p>
    <w:p w14:paraId="5D8925EA"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Tüm bu değişiklikler ve uygulamalar, başvurucunun bireysel başvuru süreci dahil “kanunla kurulmuş, bağımsız ve tarafsız mahkeme” hakkının açık ihlalini oluşturmaktadır.</w:t>
      </w:r>
    </w:p>
    <w:p w14:paraId="71806DAD" w14:textId="77777777" w:rsidR="00492203" w:rsidRPr="00492203" w:rsidRDefault="00492203" w:rsidP="00492203">
      <w:pPr>
        <w:pStyle w:val="Heading2"/>
        <w:rPr>
          <w:rFonts w:ascii="Arial Narrow" w:hAnsi="Arial Narrow" w:cs="Times New Roman"/>
          <w:szCs w:val="24"/>
        </w:rPr>
      </w:pPr>
      <w:r w:rsidRPr="00492203">
        <w:rPr>
          <w:rFonts w:ascii="Arial Narrow" w:hAnsi="Arial Narrow" w:cs="Times New Roman"/>
          <w:szCs w:val="24"/>
        </w:rPr>
        <w:t>AİHS m.6 – Adil yargılanma hakkı ihlal edilmiştir.</w:t>
      </w:r>
    </w:p>
    <w:p w14:paraId="66FC86B9"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 xml:space="preserve">ByLock verisinin elde edilmesi ve saklanması aşamasında, adli bilişimin temel kurallarına (veri bütünlüğünün korunması, elde edildikten sonra zincirleme muhafaza, doğrulanabilirlik) uyulmamıştır. MİT’in bu verilerin “özel yollarla” elde edildiğine dair açıklaması, verinin kaynağı ve bütünlüğü üzerinde haklı ve şu ana kadar giderilemeyen bir şüphe doğurmuştur. Bu durumda güvenilir ve yargısal denetime elverişli bir delilden söz edilemez. Nitekim Yalçınkaya kararında tespit edildiği üzere, veriler toplandıktan aylar sonra Sulh Ceza Hâkimliğinden karar alınmıştır. Ayrıca dosyalara giren içeriklerin önemli bir kısmının 2019-2020 sonrası ortaya çıkması, sonradan ekleme ve manipülasyon ihtimalini de güçlendirmektedir. Bu şartlarda, ByLock verisinin ihraca (veya herhangi bir yaptırıma) esas </w:t>
      </w:r>
      <w:r w:rsidRPr="00492203">
        <w:rPr>
          <w:rFonts w:ascii="Arial Narrow" w:hAnsi="Arial Narrow" w:cs="Times New Roman"/>
          <w:szCs w:val="24"/>
          <w:lang w:val="tr-TR"/>
        </w:rPr>
        <w:lastRenderedPageBreak/>
        <w:t>alınması mümkün değildir. Kaldı ki CMK m.134 uyarınca hâkim kararı olmadan dijital verilerin elde edilmesi hukuka aykırıdır ve ceza yargılamasında kullanılamaz.</w:t>
      </w:r>
    </w:p>
    <w:p w14:paraId="00C9513C"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 xml:space="preserve">Hukuka aykırı delilin hükme esas alınmaması, yalnız ceza yargısı için değil, disiplin/idari yaptırımlar için de geçerlidir. Anayasa Mahkemesi, Anayasa m.38/6’nın disiplin alanında da geçerli olduğunu açıkça belirtmiştir (Bkz. 04.04.1991 tarihli E.1990/12 sayılı ve 13.07.2016 tarihli </w:t>
      </w:r>
      <w:proofErr w:type="spellStart"/>
      <w:proofErr w:type="gramStart"/>
      <w:r w:rsidRPr="00492203">
        <w:rPr>
          <w:rFonts w:ascii="Arial Narrow" w:hAnsi="Arial Narrow" w:cs="Times New Roman"/>
          <w:szCs w:val="24"/>
          <w:lang w:val="tr-TR"/>
        </w:rPr>
        <w:t>B.No</w:t>
      </w:r>
      <w:proofErr w:type="spellEnd"/>
      <w:proofErr w:type="gramEnd"/>
      <w:r w:rsidRPr="00492203">
        <w:rPr>
          <w:rFonts w:ascii="Arial Narrow" w:hAnsi="Arial Narrow" w:cs="Times New Roman"/>
          <w:szCs w:val="24"/>
          <w:lang w:val="tr-TR"/>
        </w:rPr>
        <w:t>: 2014/7738 saylı kararlar). Danıştay 12. Dairesi’nin 30.05.2017 tarihli (E.2016/7260) kararı da disiplin hukukunda “şüpheden sanık yararlanır” ilkesini ve “kesin/inandırıcı delil” gerekliliğini teyit etmektedir.</w:t>
      </w:r>
    </w:p>
    <w:p w14:paraId="463E1F19"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AİHM de 16.02.2021 tarihli Budak/Türkiye (</w:t>
      </w:r>
      <w:proofErr w:type="gramStart"/>
      <w:r w:rsidRPr="00492203">
        <w:rPr>
          <w:rFonts w:ascii="Arial Narrow" w:hAnsi="Arial Narrow" w:cs="Times New Roman"/>
          <w:szCs w:val="24"/>
          <w:lang w:val="tr-TR"/>
        </w:rPr>
        <w:t>B.No</w:t>
      </w:r>
      <w:proofErr w:type="gramEnd"/>
      <w:r w:rsidRPr="00492203">
        <w:rPr>
          <w:rFonts w:ascii="Arial Narrow" w:hAnsi="Arial Narrow" w:cs="Times New Roman"/>
          <w:szCs w:val="24"/>
          <w:lang w:val="tr-TR"/>
        </w:rPr>
        <w:t>:69762/12) kararında AİHS m.53 uyarınca ulusal hukukun tanıdığı daha yüksek güvencelere aykırılığın, m.8 ve m.6 bağlamında ihlale yol açabileceğini vurgulamıştır. Ulusal hukuk (Anayasa m.38/6; CMK m.206/2-a, m.217/2, m.289/1-i) açıkken, hâkim kararı olmadan toplanmış ve bütünlüğünün korunduğu ispatlanmamış ByLock verisine dayanılarak tesis edilen ihraç işlemleri, hukuka aykırı delilin dışlanması kuralına aykırıdır. Bu nedenlerle, hâkim kararı olmaksızın elde edilmiş, kaynağı ve bütünlüğü doğrulanmamış ByLock verisi disiplin/ihraç işlemlerinde delil olarak kullanılamaz.</w:t>
      </w:r>
    </w:p>
    <w:p w14:paraId="583BD3AE" w14:textId="77777777" w:rsidR="00492203" w:rsidRPr="00492203" w:rsidRDefault="00492203" w:rsidP="00492203">
      <w:pPr>
        <w:pStyle w:val="Heading2"/>
        <w:rPr>
          <w:rFonts w:ascii="Arial Narrow" w:hAnsi="Arial Narrow" w:cs="Times New Roman"/>
          <w:szCs w:val="24"/>
        </w:rPr>
      </w:pPr>
      <w:r w:rsidRPr="00492203">
        <w:rPr>
          <w:rFonts w:ascii="Arial Narrow" w:hAnsi="Arial Narrow" w:cs="Times New Roman"/>
          <w:szCs w:val="24"/>
        </w:rPr>
        <w:t>AİHS m.6 §2 – Masumiyet karinesi ihlal edilmiştir.</w:t>
      </w:r>
    </w:p>
    <w:p w14:paraId="0A34981A" w14:textId="509DAB98"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Başvurucunun ismi, AYM’nin de (E.2018/81, 24.06.2021) suçlayıcı içerikli olduğunu kabul ettiği 667 s. KHK m.3’e dayanılarak, </w:t>
      </w:r>
      <w:proofErr w:type="gramStart"/>
      <w:r w:rsidRPr="00492203">
        <w:rPr>
          <w:rFonts w:ascii="Arial Narrow" w:eastAsia="Times New Roman" w:hAnsi="Arial Narrow" w:cs="Times New Roman"/>
          <w:szCs w:val="24"/>
          <w:lang w:val="tr-TR"/>
        </w:rPr>
        <w:t>HS(</w:t>
      </w:r>
      <w:proofErr w:type="gramEnd"/>
      <w:r w:rsidRPr="00492203">
        <w:rPr>
          <w:rFonts w:ascii="Arial Narrow" w:eastAsia="Times New Roman" w:hAnsi="Arial Narrow" w:cs="Times New Roman"/>
          <w:szCs w:val="24"/>
          <w:lang w:val="tr-TR"/>
        </w:rPr>
        <w:t>Y)K kararına ekli listede “terör örgütüyle irtibatlı/iltisaklı” olarak yayımlanmıştır.</w:t>
      </w:r>
      <w:r w:rsidR="00960F6C">
        <w:rPr>
          <w:rFonts w:ascii="Arial Narrow" w:eastAsia="Times New Roman" w:hAnsi="Arial Narrow" w:cs="Times New Roman"/>
          <w:szCs w:val="24"/>
          <w:lang w:val="tr-TR"/>
        </w:rPr>
        <w:t xml:space="preserve"> </w:t>
      </w:r>
      <w:r w:rsidR="00960F6C" w:rsidRPr="00960F6C">
        <w:rPr>
          <w:rFonts w:ascii="Arial Narrow" w:eastAsia="Times New Roman" w:hAnsi="Arial Narrow" w:cs="Times New Roman"/>
          <w:szCs w:val="24"/>
          <w:lang w:val="tr-TR"/>
        </w:rPr>
        <w:t>Böylece başvurucu henüz mahkûm edilmeden kamuoyu önünde suçlu ilan edilmiştir.</w:t>
      </w:r>
      <w:r w:rsidRPr="00492203">
        <w:rPr>
          <w:rFonts w:ascii="Arial Narrow" w:eastAsia="Times New Roman" w:hAnsi="Arial Narrow" w:cs="Times New Roman"/>
          <w:szCs w:val="24"/>
          <w:lang w:val="tr-TR"/>
        </w:rPr>
        <w:t xml:space="preserve"> Bu durum, anayasal düzeyde korunan masumiyet karinesini ihlal etmiştir (m.15/2). AYM ise N.E. kararında bu iddiayı incelememiştir (§§ 98-152). </w:t>
      </w:r>
      <w:proofErr w:type="gramStart"/>
      <w:r w:rsidRPr="00492203">
        <w:rPr>
          <w:rFonts w:ascii="Arial Narrow" w:eastAsia="Times New Roman" w:hAnsi="Arial Narrow" w:cs="Times New Roman"/>
          <w:szCs w:val="24"/>
          <w:lang w:val="tr-TR"/>
        </w:rPr>
        <w:t>HS(</w:t>
      </w:r>
      <w:proofErr w:type="gramEnd"/>
      <w:r w:rsidRPr="00492203">
        <w:rPr>
          <w:rFonts w:ascii="Arial Narrow" w:eastAsia="Times New Roman" w:hAnsi="Arial Narrow" w:cs="Times New Roman"/>
          <w:szCs w:val="24"/>
          <w:lang w:val="tr-TR"/>
        </w:rPr>
        <w:t>Y)K kararında, henüz dava açılmamış kişiler hakkında kesin hüküm niteliğinde ifadelere yer verilmiştir. Karar ve ekindeki isimler resmi internet sitesinde yayımlanmış, ardından basında yoğun biçimde suçlayıcı haberler yapılmıştır. Kamu makamlarının özen yükümlülüğünü yerine getirmemeleri sonucunda başvurucu, terör örgütü üyeliği isnadıyla kamuoyu önünde zan altında bırakılmıştır.</w:t>
      </w:r>
    </w:p>
    <w:p w14:paraId="1EBBC16A" w14:textId="77777777" w:rsidR="00492203" w:rsidRPr="00492203" w:rsidRDefault="00492203" w:rsidP="00492203">
      <w:pPr>
        <w:pStyle w:val="Heading2"/>
        <w:rPr>
          <w:rFonts w:ascii="Arial Narrow" w:hAnsi="Arial Narrow" w:cs="Times New Roman"/>
          <w:szCs w:val="24"/>
        </w:rPr>
      </w:pPr>
      <w:r w:rsidRPr="00492203">
        <w:rPr>
          <w:rFonts w:ascii="Arial Narrow" w:hAnsi="Arial Narrow" w:cs="Times New Roman"/>
          <w:szCs w:val="24"/>
        </w:rPr>
        <w:t>AİHS m.7 – Suç ve cezaların kanuniliği ilkesi ihlal edilmiştir.</w:t>
      </w:r>
    </w:p>
    <w:p w14:paraId="23F7BA2E"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 xml:space="preserve">AİHS m.7’nin koruduğu “suç ve cezaların kanuniliği” ilkesi, yalnızca ceza kanunlarında yazılı suç tipleriyle sınırlı bir güvence değildir. Devletin bir kimseye isnat ettiği fiilleri, süresiz kamu hizmetinden yasaklama gibi cezalandırıcı nitelikte sonuçlara bağlarken başvuracağı kuralların da erişilebilir, öngörülebilir ve keyfî yoruma kapalı olması gerekir. Kamu görevinden çıkarma işlemleri, idare ve AYM tarafından her ne kadar “idari/olağanüstü tedbir” </w:t>
      </w:r>
      <w:r w:rsidRPr="00492203">
        <w:rPr>
          <w:rFonts w:ascii="Arial Narrow" w:hAnsi="Arial Narrow" w:cs="Times New Roman"/>
          <w:szCs w:val="24"/>
          <w:lang w:val="tr-TR"/>
        </w:rPr>
        <w:lastRenderedPageBreak/>
        <w:t xml:space="preserve">olarak nitelendirilmiş olsa da mahiyeti (ömür boyu kamu hizmetlerinden men, fiilen özel sektörde çalışamama, kişisel itibara ağır darbe) ve isnadın niteliği (terör örgütü ile bağlantı ya da aidiyet) itibarıyla cezalandırıcı sonuç doğurmaktadır. Bu nedenle, AİHS m.7’nin aradığı nitelikte açık ve belirli bir yasal çerçeve olmaksızın uygulanması hukuken kabul edilemez. </w:t>
      </w:r>
    </w:p>
    <w:p w14:paraId="71AE32CD"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667 sayılı KHK m.3 ile ilk kez öngörülen “irtibat/iltisak” kavramlarının tanımı yapılmamış; kapsamı, unsurları ve ispat ölçütleri belirlenmemiş; hangi davranışların ne eşikte bu kavramların içine gireceği gösterilmemiştir. MGK kararlarına yapılan atıf da söz konusu boşluğu doldurmamaktadır. İdari mahiyetteki kararlarla, yargısal nitelikte suç ve ceza ihdas edilmesi mümkün değildir. Bu belirsizlik, idareye denetimsiz bir takdir alanı açmış; aynı nitelikteki olguların kişiler arasında seçmeci biçimde “örgüt iltisakı” sayılmasına yol açmıştır. AİHS m.7 uyarınca aleyhe genişletici yorum yasaktır; öngörülebilirliği bulunmayan muğlak ifadelerle kişilere ağır yaptırımlar yüklenmesi hukuken mümkün değildir.</w:t>
      </w:r>
    </w:p>
    <w:p w14:paraId="42DFD63D" w14:textId="2A7CF62E"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667 sayılı KHK 23/07/2016 tarihinde yürürlüğe girmiş olmasına rağmen, meslekten ihraç kararı bu tarihten önceki ve o dönem yasal/olağan</w:t>
      </w:r>
      <w:r w:rsidR="00B81FB8">
        <w:rPr>
          <w:rFonts w:ascii="Arial Narrow" w:hAnsi="Arial Narrow" w:cs="Times New Roman"/>
          <w:szCs w:val="24"/>
          <w:lang w:val="tr-TR"/>
        </w:rPr>
        <w:t xml:space="preserve">, </w:t>
      </w:r>
      <w:r w:rsidR="00B81FB8" w:rsidRPr="00B81FB8">
        <w:rPr>
          <w:rFonts w:ascii="Arial Narrow" w:hAnsi="Arial Narrow" w:cs="Times New Roman"/>
          <w:szCs w:val="24"/>
          <w:lang w:val="tr-TR"/>
        </w:rPr>
        <w:t>temel hakların kullanımı niteliğindek</w:t>
      </w:r>
      <w:r w:rsidR="00B81FB8">
        <w:rPr>
          <w:rFonts w:ascii="Arial Narrow" w:hAnsi="Arial Narrow" w:cs="Times New Roman"/>
          <w:szCs w:val="24"/>
          <w:lang w:val="tr-TR"/>
        </w:rPr>
        <w:t>i</w:t>
      </w:r>
      <w:r w:rsidRPr="00492203">
        <w:rPr>
          <w:rFonts w:ascii="Arial Narrow" w:hAnsi="Arial Narrow" w:cs="Times New Roman"/>
          <w:szCs w:val="24"/>
          <w:lang w:val="tr-TR"/>
        </w:rPr>
        <w:t xml:space="preserve"> ilişki ve faaliyetlere (HTS kayıtları, sosyal çevre ilişkileri, dernek üyeliği, banka işlemleri vb.) dayandırılmıştır. Bir kimsenin, işlendiği tarihte suç sayılmayan ve hatta hukuken güvence altında olan özgürlüklerin kullanımı niteliğindeki davranışları nedeniyle, sonradan ihdas edilen muğlak kavramlar üzerinden kamu görevinden ömür boyu yasaklanma yaptırımına maruz bırakılması, m.7’nin yasallık ve öngörülebilirlik gereklilikleriyle bağdaşmamaktadır.</w:t>
      </w:r>
    </w:p>
    <w:p w14:paraId="202AAE11"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492203">
        <w:rPr>
          <w:rFonts w:ascii="Arial Narrow" w:hAnsi="Arial Narrow" w:cs="Times New Roman"/>
          <w:szCs w:val="24"/>
          <w:lang w:val="tr-TR"/>
        </w:rPr>
        <w:t>Nitekim AİHM, yakın tarihli çok sayıda içtihadında (örneğin bkz. Yalçınkaya ve Taner Kılıç) “örgüt üyeliği/yardım” suçlamalarında belirlilik, öngörülebilirlik ve kanıtlama ölçütleri bakımından ciddi eksiklikler tespit etmiş; bankacılık işlemleri, eğitim faaliyetleri, dernek üyeliği, gazete aboneliği gibi başlı başına yasal faaliyetlerin otomatik olarak cezai sorumluluğa bağlanamayacağını vurgulamıştır. Aynı anlayış, idari işlem yoluyla uygulanan ancak cezalandırıcı etkisi tartışmasız olan meslekten çıkarma yaptırımı için de geçerlidir: “ByLock/HTS” iddiasının teknik temellendirme ve tarafsız bilirkişilikten yoksun biçimde kullanılması, “irtibat/</w:t>
      </w:r>
      <w:proofErr w:type="spellStart"/>
      <w:r w:rsidRPr="00492203">
        <w:rPr>
          <w:rFonts w:ascii="Arial Narrow" w:hAnsi="Arial Narrow" w:cs="Times New Roman"/>
          <w:szCs w:val="24"/>
          <w:lang w:val="tr-TR"/>
        </w:rPr>
        <w:t>iltisak”ın</w:t>
      </w:r>
      <w:proofErr w:type="spellEnd"/>
      <w:r w:rsidRPr="00492203">
        <w:rPr>
          <w:rFonts w:ascii="Arial Narrow" w:hAnsi="Arial Narrow" w:cs="Times New Roman"/>
          <w:szCs w:val="24"/>
          <w:lang w:val="tr-TR"/>
        </w:rPr>
        <w:t xml:space="preserve"> soyut tanık sözleri veya sosyal çevre bilgileriyle kurulması, grup aidiyeti üzerinden kolektif sorumluluk yüklenmesi, m.7’nin yasallık güvencesiyle bağdaşmamaktadır.</w:t>
      </w:r>
    </w:p>
    <w:p w14:paraId="206475BB" w14:textId="77777777" w:rsidR="00492203" w:rsidRPr="00492203" w:rsidRDefault="00492203" w:rsidP="00492203">
      <w:pPr>
        <w:pStyle w:val="Heading2"/>
        <w:rPr>
          <w:rFonts w:ascii="Arial Narrow" w:hAnsi="Arial Narrow" w:cs="Times New Roman"/>
          <w:szCs w:val="24"/>
        </w:rPr>
      </w:pPr>
      <w:r w:rsidRPr="00492203">
        <w:rPr>
          <w:rFonts w:ascii="Arial Narrow" w:hAnsi="Arial Narrow" w:cs="Times New Roman"/>
          <w:szCs w:val="24"/>
        </w:rPr>
        <w:t xml:space="preserve">AİHS m. </w:t>
      </w:r>
      <w:proofErr w:type="gramStart"/>
      <w:r w:rsidRPr="00492203">
        <w:rPr>
          <w:rFonts w:ascii="Arial Narrow" w:hAnsi="Arial Narrow" w:cs="Times New Roman"/>
          <w:szCs w:val="24"/>
        </w:rPr>
        <w:t>8 -</w:t>
      </w:r>
      <w:proofErr w:type="gramEnd"/>
      <w:r w:rsidRPr="00492203">
        <w:rPr>
          <w:rFonts w:ascii="Arial Narrow" w:hAnsi="Arial Narrow" w:cs="Times New Roman"/>
          <w:szCs w:val="24"/>
        </w:rPr>
        <w:t xml:space="preserve"> Özel hayata saygı hakkı ihlal edilmiştir.</w:t>
      </w:r>
    </w:p>
    <w:p w14:paraId="49053936"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Başvurucunun 667 sayılı KHK m.3’e dayanılarak meslekten çıkarılması, isminin </w:t>
      </w:r>
      <w:proofErr w:type="spellStart"/>
      <w:r w:rsidRPr="00492203">
        <w:rPr>
          <w:rFonts w:ascii="Arial Narrow" w:eastAsia="Times New Roman" w:hAnsi="Arial Narrow" w:cs="Times New Roman"/>
          <w:szCs w:val="24"/>
          <w:lang w:val="tr-TR"/>
        </w:rPr>
        <w:t>RG’de</w:t>
      </w:r>
      <w:proofErr w:type="spellEnd"/>
      <w:r w:rsidRPr="00492203">
        <w:rPr>
          <w:rFonts w:ascii="Arial Narrow" w:eastAsia="Times New Roman" w:hAnsi="Arial Narrow" w:cs="Times New Roman"/>
          <w:szCs w:val="24"/>
          <w:lang w:val="tr-TR"/>
        </w:rPr>
        <w:t xml:space="preserve"> yayımlanması ve “fişleme” ile sosyal çevre verilerinin önceden toplanıp kullanılması mesleki, </w:t>
      </w:r>
      <w:r w:rsidRPr="00492203">
        <w:rPr>
          <w:rFonts w:ascii="Arial Narrow" w:eastAsia="Times New Roman" w:hAnsi="Arial Narrow" w:cs="Times New Roman"/>
          <w:szCs w:val="24"/>
          <w:lang w:val="tr-TR"/>
        </w:rPr>
        <w:lastRenderedPageBreak/>
        <w:t>ailevi ve diğer sosyal çevresinde şeref ve itibarını aşırı derecede zedelemiş; mesleki ilişkileri dahil geniş bir kitle ile olan sosyal ilişkilerini yitirmiş; kendisi ve ailesinin maddi refahı üzerinde yıkıcı sonuçlar doğurmuştur.</w:t>
      </w:r>
    </w:p>
    <w:p w14:paraId="6870A1E2"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Özel hayata müdahalenin </w:t>
      </w:r>
      <w:proofErr w:type="spellStart"/>
      <w:r w:rsidRPr="00492203">
        <w:rPr>
          <w:rFonts w:ascii="Arial Narrow" w:eastAsia="Times New Roman" w:hAnsi="Arial Narrow" w:cs="Times New Roman"/>
          <w:szCs w:val="24"/>
          <w:lang w:val="tr-TR"/>
        </w:rPr>
        <w:t>AİHS’in</w:t>
      </w:r>
      <w:proofErr w:type="spellEnd"/>
      <w:r w:rsidRPr="00492203">
        <w:rPr>
          <w:rFonts w:ascii="Arial Narrow" w:eastAsia="Times New Roman" w:hAnsi="Arial Narrow" w:cs="Times New Roman"/>
          <w:szCs w:val="24"/>
          <w:lang w:val="tr-TR"/>
        </w:rPr>
        <w:t xml:space="preserve"> 8. maddesine uygun kabul edilebilmesi için öncelikle bu </w:t>
      </w:r>
      <w:r w:rsidRPr="00492203">
        <w:rPr>
          <w:rFonts w:ascii="Arial Narrow" w:eastAsia="Times New Roman" w:hAnsi="Arial Narrow" w:cs="Times New Roman"/>
          <w:b/>
          <w:bCs/>
          <w:szCs w:val="24"/>
          <w:lang w:val="tr-TR"/>
        </w:rPr>
        <w:t>müdahalenin “yasayla öngörülmüş” olması</w:t>
      </w:r>
      <w:r w:rsidRPr="00492203">
        <w:rPr>
          <w:rFonts w:ascii="Arial Narrow" w:eastAsia="Times New Roman" w:hAnsi="Arial Narrow" w:cs="Times New Roman"/>
          <w:szCs w:val="24"/>
          <w:lang w:val="tr-TR"/>
        </w:rPr>
        <w:t xml:space="preserve"> </w:t>
      </w:r>
      <w:r w:rsidRPr="00492203">
        <w:rPr>
          <w:rFonts w:ascii="Arial Narrow" w:eastAsia="Times New Roman" w:hAnsi="Arial Narrow" w:cs="Times New Roman"/>
          <w:b/>
          <w:bCs/>
          <w:szCs w:val="24"/>
          <w:lang w:val="tr-TR"/>
        </w:rPr>
        <w:t>gerekir</w:t>
      </w:r>
      <w:r w:rsidRPr="00492203">
        <w:rPr>
          <w:rFonts w:ascii="Arial Narrow" w:eastAsia="Times New Roman" w:hAnsi="Arial Narrow" w:cs="Times New Roman"/>
          <w:szCs w:val="24"/>
          <w:lang w:val="tr-TR"/>
        </w:rPr>
        <w:t xml:space="preserve">. </w:t>
      </w:r>
      <w:proofErr w:type="spellStart"/>
      <w:r w:rsidRPr="00492203">
        <w:rPr>
          <w:rFonts w:ascii="Arial Narrow" w:eastAsia="Times New Roman" w:hAnsi="Arial Narrow" w:cs="Times New Roman"/>
          <w:szCs w:val="24"/>
          <w:lang w:val="tr-TR"/>
        </w:rPr>
        <w:t>AİHM’e</w:t>
      </w:r>
      <w:proofErr w:type="spellEnd"/>
      <w:r w:rsidRPr="00492203">
        <w:rPr>
          <w:rFonts w:ascii="Arial Narrow" w:eastAsia="Times New Roman" w:hAnsi="Arial Narrow" w:cs="Times New Roman"/>
          <w:szCs w:val="24"/>
          <w:lang w:val="tr-TR"/>
        </w:rPr>
        <w:t xml:space="preserve"> göre bu şart, yalnızca müdahalenin kanuni bir temelinin bulunmasını değil, aynı zamanda yasanın hukukun üstünlüğüne uygun, erişilebilir ve öngörülebilir olmasını da zorunlu kılar (Özpınar/Türkiye; N.F./İtalya).</w:t>
      </w:r>
    </w:p>
    <w:p w14:paraId="43FF5011"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Uluslararası metinlerde,</w:t>
      </w:r>
      <w:r w:rsidRPr="00492203">
        <w:rPr>
          <w:rStyle w:val="FootnoteReference"/>
          <w:rFonts w:ascii="Arial Narrow" w:eastAsia="Times New Roman" w:hAnsi="Arial Narrow" w:cs="Times New Roman"/>
          <w:szCs w:val="24"/>
          <w:lang w:val="tr-TR"/>
        </w:rPr>
        <w:footnoteReference w:id="8"/>
      </w:r>
      <w:r w:rsidRPr="00492203">
        <w:rPr>
          <w:rFonts w:ascii="Arial Narrow" w:eastAsia="Times New Roman" w:hAnsi="Arial Narrow" w:cs="Times New Roman"/>
          <w:szCs w:val="24"/>
          <w:lang w:val="tr-TR"/>
        </w:rPr>
        <w:t xml:space="preserve"> hâkimlik ve savcılık teminatı, mahkemelerin bağımsızlığının kilit unsuru olarak kabul edilmektedir. Buna göre, bir hâkim veya savcı, zorunlu emeklilik yaşına kadar görevden azledilemez, görevinden sürekli veya geçici olarak alınamaz; ancak kanunda açıkça öngörülmüş görevi kötüye kullanma veya mesleki yetersizlik halleri söz konusu olduğunda ve adil yargılanma güvencelerine uygun usuller işletilerek bu mümkün olabilir.</w:t>
      </w:r>
    </w:p>
    <w:p w14:paraId="34AF6468"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Hukukun üstünlüğü, </w:t>
      </w:r>
      <w:proofErr w:type="spellStart"/>
      <w:r w:rsidRPr="00492203">
        <w:rPr>
          <w:rFonts w:ascii="Arial Narrow" w:eastAsia="Times New Roman" w:hAnsi="Arial Narrow" w:cs="Times New Roman"/>
          <w:szCs w:val="24"/>
          <w:lang w:val="tr-TR"/>
        </w:rPr>
        <w:t>AİHS’in</w:t>
      </w:r>
      <w:proofErr w:type="spellEnd"/>
      <w:r w:rsidRPr="00492203">
        <w:rPr>
          <w:rFonts w:ascii="Arial Narrow" w:eastAsia="Times New Roman" w:hAnsi="Arial Narrow" w:cs="Times New Roman"/>
          <w:szCs w:val="24"/>
          <w:lang w:val="tr-TR"/>
        </w:rPr>
        <w:t xml:space="preserve"> tüm hükümlerinin temelinde yer almaktadır. Hukuk devleti ilkesinin hayata geçirilmesinin ön şartı olan yargı bağımsızlığı ise bu ilkenin vazgeçilmez unsurlarından birini oluşturmaktadır. Dolayısıyla, hâkimlik/savcılık teminatını zedeleyen ve yargı bağımsızlığına aykırı olan bir düzenleme, hukukun üstünlüğü ilkesine de aykırı olacak ve </w:t>
      </w:r>
      <w:proofErr w:type="spellStart"/>
      <w:r w:rsidRPr="00492203">
        <w:rPr>
          <w:rFonts w:ascii="Arial Narrow" w:eastAsia="Times New Roman" w:hAnsi="Arial Narrow" w:cs="Times New Roman"/>
          <w:szCs w:val="24"/>
          <w:lang w:val="tr-TR"/>
        </w:rPr>
        <w:t>AİHS’in</w:t>
      </w:r>
      <w:proofErr w:type="spellEnd"/>
      <w:r w:rsidRPr="00492203">
        <w:rPr>
          <w:rFonts w:ascii="Arial Narrow" w:eastAsia="Times New Roman" w:hAnsi="Arial Narrow" w:cs="Times New Roman"/>
          <w:szCs w:val="24"/>
          <w:lang w:val="tr-TR"/>
        </w:rPr>
        <w:t xml:space="preserve"> öngördüğü “kanunilik” koşulunu karşılamayacaktır.  Ayrıca, Venedik Komisyonu raporlarında da belirtildiği üzere, genel bir düzenleme gibi formüle edilse de gerçekte belirli kişileri hedef alan yasal düzenlemeler de hukukun üstünlüğü ilkesine aykırı kabul edilmektedir.</w:t>
      </w:r>
    </w:p>
    <w:p w14:paraId="47ABC784"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Öte yandan, temel hakları etkileyen konularda idareye sınırsız ve kontrolsüz takdir yetkisi tanınması hukukun üstünlüğü ilkesine aykırıdır. Dolayısıyla kanun, yetkili makamlara verilen takdir hakkının kapsamını, kullanım biçimini ve meşru amacını açık biçimde göstermeli, keyfi müdahalelere karşı yeterli güvenceler içermelidir (Al-</w:t>
      </w:r>
      <w:proofErr w:type="spellStart"/>
      <w:r w:rsidRPr="00492203">
        <w:rPr>
          <w:rFonts w:ascii="Arial Narrow" w:eastAsia="Times New Roman" w:hAnsi="Arial Narrow" w:cs="Times New Roman"/>
          <w:szCs w:val="24"/>
          <w:lang w:val="tr-TR"/>
        </w:rPr>
        <w:t>Nashif</w:t>
      </w:r>
      <w:proofErr w:type="spellEnd"/>
      <w:r w:rsidRPr="00492203">
        <w:rPr>
          <w:rFonts w:ascii="Arial Narrow" w:eastAsia="Times New Roman" w:hAnsi="Arial Narrow" w:cs="Times New Roman"/>
          <w:szCs w:val="24"/>
          <w:lang w:val="tr-TR"/>
        </w:rPr>
        <w:t xml:space="preserve">/Bulgaristan; </w:t>
      </w:r>
      <w:proofErr w:type="spellStart"/>
      <w:r w:rsidRPr="00492203">
        <w:rPr>
          <w:rFonts w:ascii="Arial Narrow" w:eastAsia="Times New Roman" w:hAnsi="Arial Narrow" w:cs="Times New Roman"/>
          <w:szCs w:val="24"/>
          <w:lang w:val="tr-TR"/>
        </w:rPr>
        <w:t>Amenn</w:t>
      </w:r>
      <w:proofErr w:type="spellEnd"/>
      <w:r w:rsidRPr="00492203">
        <w:rPr>
          <w:rFonts w:ascii="Arial Narrow" w:eastAsia="Times New Roman" w:hAnsi="Arial Narrow" w:cs="Times New Roman"/>
          <w:szCs w:val="24"/>
          <w:lang w:val="tr-TR"/>
        </w:rPr>
        <w:t xml:space="preserve">/İsviçre; </w:t>
      </w:r>
      <w:proofErr w:type="spellStart"/>
      <w:r w:rsidRPr="00492203">
        <w:rPr>
          <w:rFonts w:ascii="Arial Narrow" w:eastAsia="Times New Roman" w:hAnsi="Arial Narrow" w:cs="Times New Roman"/>
          <w:szCs w:val="24"/>
          <w:lang w:val="tr-TR"/>
        </w:rPr>
        <w:t>Rotaru</w:t>
      </w:r>
      <w:proofErr w:type="spellEnd"/>
      <w:r w:rsidRPr="00492203">
        <w:rPr>
          <w:rFonts w:ascii="Arial Narrow" w:eastAsia="Times New Roman" w:hAnsi="Arial Narrow" w:cs="Times New Roman"/>
          <w:szCs w:val="24"/>
          <w:lang w:val="tr-TR"/>
        </w:rPr>
        <w:t xml:space="preserve">/Romanya; </w:t>
      </w:r>
      <w:proofErr w:type="spellStart"/>
      <w:r w:rsidRPr="00492203">
        <w:rPr>
          <w:rFonts w:ascii="Arial Narrow" w:eastAsia="Times New Roman" w:hAnsi="Arial Narrow" w:cs="Times New Roman"/>
          <w:szCs w:val="24"/>
          <w:lang w:val="tr-TR"/>
        </w:rPr>
        <w:t>Klass</w:t>
      </w:r>
      <w:proofErr w:type="spellEnd"/>
      <w:r w:rsidRPr="00492203">
        <w:rPr>
          <w:rFonts w:ascii="Arial Narrow" w:eastAsia="Times New Roman" w:hAnsi="Arial Narrow" w:cs="Times New Roman"/>
          <w:szCs w:val="24"/>
          <w:lang w:val="tr-TR"/>
        </w:rPr>
        <w:t xml:space="preserve"> ve diğerleri/Almanya; </w:t>
      </w:r>
      <w:proofErr w:type="spellStart"/>
      <w:r w:rsidRPr="00492203">
        <w:rPr>
          <w:rFonts w:ascii="Arial Narrow" w:eastAsia="Times New Roman" w:hAnsi="Arial Narrow" w:cs="Times New Roman"/>
          <w:szCs w:val="24"/>
          <w:lang w:val="tr-TR"/>
        </w:rPr>
        <w:t>Ostrover</w:t>
      </w:r>
      <w:proofErr w:type="spellEnd"/>
      <w:r w:rsidRPr="00492203">
        <w:rPr>
          <w:rFonts w:ascii="Arial Narrow" w:eastAsia="Times New Roman" w:hAnsi="Arial Narrow" w:cs="Times New Roman"/>
          <w:szCs w:val="24"/>
          <w:lang w:val="tr-TR"/>
        </w:rPr>
        <w:t xml:space="preserve">/Moldova). Ulusal güvenlik söz konusu olduğunda dahi, kanunilik ve hukukun üstünlüğü ilkelerinin gözetilmesi zorunludur. </w:t>
      </w:r>
    </w:p>
    <w:p w14:paraId="2411F5B6" w14:textId="317F08AB"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Başvurucunun mesleğinden ihraç edilmesinin dayanağı, Bakanlar Kurulu tarafından kabul edilen 667 sayılı KHK’nın 3. maddesidir. Anılan hükümde, </w:t>
      </w:r>
      <w:r w:rsidRPr="00492203">
        <w:rPr>
          <w:rFonts w:ascii="Arial Narrow" w:eastAsia="Times New Roman" w:hAnsi="Arial Narrow" w:cs="Times New Roman"/>
          <w:i/>
          <w:iCs/>
          <w:szCs w:val="24"/>
          <w:lang w:val="tr-TR"/>
        </w:rPr>
        <w:t xml:space="preserve">“terör örgütlerine veya Millî </w:t>
      </w:r>
      <w:r w:rsidRPr="00492203">
        <w:rPr>
          <w:rFonts w:ascii="Arial Narrow" w:eastAsia="Times New Roman" w:hAnsi="Arial Narrow" w:cs="Times New Roman"/>
          <w:i/>
          <w:iCs/>
          <w:szCs w:val="24"/>
          <w:lang w:val="tr-TR"/>
        </w:rPr>
        <w:lastRenderedPageBreak/>
        <w:t>Güvenlik Kurulunca devletin millî güvenliğine karşı faaliyette bulunduğuna karar verilen yapı, oluşum veya gruplara üyeliği, mensubiyeti veya iltisakı yahut bunlarla irtibatı olduğu değerlendirilen … hâkim ve savcılar hakkında, Hâkimler ve Savcılar Yüksek Kurulu Genel Kurulunca … meslekte kalmalarının uygun olmadığına ve meslekten çıkarılmalarına karar verileceği”</w:t>
      </w:r>
      <w:r w:rsidRPr="00492203">
        <w:rPr>
          <w:rFonts w:ascii="Arial Narrow" w:eastAsia="Times New Roman" w:hAnsi="Arial Narrow" w:cs="Times New Roman"/>
          <w:szCs w:val="24"/>
          <w:lang w:val="tr-TR"/>
        </w:rPr>
        <w:t xml:space="preserve"> düzenlenmiştir. </w:t>
      </w:r>
      <w:r w:rsidRPr="00492203">
        <w:rPr>
          <w:rFonts w:ascii="Arial Narrow" w:eastAsia="Times New Roman" w:hAnsi="Arial Narrow" w:cs="Times New Roman"/>
          <w:szCs w:val="24"/>
          <w:lang w:val="tr-TR" w:eastAsia="tr-TR"/>
        </w:rPr>
        <w:t xml:space="preserve">Bu hükme dayanılarak,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Genel Kurulu</w:t>
      </w:r>
      <w:r w:rsidR="007B3B45">
        <w:rPr>
          <w:rFonts w:ascii="Arial Narrow" w:eastAsia="Times New Roman" w:hAnsi="Arial Narrow" w:cs="Times New Roman"/>
          <w:szCs w:val="24"/>
          <w:lang w:val="tr-TR" w:eastAsia="tr-TR"/>
        </w:rPr>
        <w:t xml:space="preserve"> </w:t>
      </w:r>
      <w:r w:rsidRPr="00492203">
        <w:rPr>
          <w:rFonts w:ascii="Arial Narrow" w:eastAsia="Times New Roman" w:hAnsi="Arial Narrow" w:cs="Times New Roman"/>
          <w:szCs w:val="24"/>
          <w:lang w:val="tr-TR" w:eastAsia="tr-TR"/>
        </w:rPr>
        <w:t>kararı ile başvurucunun “FETÖ/PDY ile iltisaklı ve irtibatlı” olduğunun sabit görüldüğü belirtilmiş ve başvurucu mesleğinden çıkarılmıştır.</w:t>
      </w:r>
    </w:p>
    <w:p w14:paraId="600C0A07"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Söz konusu maddede, takdir yetkisinin kapsamı ve kullanım tarzı gösterilmemekte;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Genel Kuruluna dizginsiz, şeffaf olmayan ve kontrolsüz bir yetki verilmektedir. Kararnamenin 3. maddesi ile, hâkim/savcıların “DEĞERLENDİRME” düzeyindeki ölçütlerle meslekten çıkarılmalarına izin verilmiştir. Ancak bu değerlendirmelerin dayanması gereken delillere ilişkin ölçüt ve koşulları belirlemeyerek HS(Y)</w:t>
      </w:r>
      <w:proofErr w:type="spellStart"/>
      <w:r w:rsidRPr="00492203">
        <w:rPr>
          <w:rFonts w:ascii="Arial Narrow" w:eastAsia="Times New Roman" w:hAnsi="Arial Narrow" w:cs="Times New Roman"/>
          <w:szCs w:val="24"/>
          <w:lang w:val="tr-TR" w:eastAsia="tr-TR"/>
        </w:rPr>
        <w:t>K’ya</w:t>
      </w:r>
      <w:proofErr w:type="spellEnd"/>
      <w:r w:rsidRPr="00492203">
        <w:rPr>
          <w:rFonts w:ascii="Arial Narrow" w:eastAsia="Times New Roman" w:hAnsi="Arial Narrow" w:cs="Times New Roman"/>
          <w:szCs w:val="24"/>
          <w:lang w:val="tr-TR" w:eastAsia="tr-TR"/>
        </w:rPr>
        <w:t xml:space="preserve"> olağanüstü ve bir hukuk devletinde kabulü mümkün olmayan geniş bir takdir yetkisi tanınmıştır. Söz konusu KHK’nın 9. Maddesinde, KHK kapsamında karar alan ve görevleri yerine getiren kişilerin bu görevleri sebebiyle hukuki, idari, mali ve cezai sorumluluklarının da doğmayacağı düzenlenmiştir. Bu madde kendisini takdir hakkı verilenleri sınırsız bir şekilde denetimsiz bırakarak keyfilik potansiyelini en üst düzeye çıkarmaktadır. Nitekim Venedik Komisyonu da bu sorumsuzluğun KHK’ların suç teşkil edebilecek bazı eylemlere doğrudan izin ve emir verdiğini veya en azından görevlerini yerine getirirken suç işleyenlerin cezalandırılmayacağını ima ettiğini belirterek bu düzenlemenin kaldırılmasını talep etmiştir.</w:t>
      </w:r>
    </w:p>
    <w:p w14:paraId="48E99040"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Bu çerçevede, temel haklara müdahale eden tedbirlerin, gerektiğinde gizli bilgilerin kullanımındaki usulü sınırlamalar da dâhil olmak üzere, bağımsız bir organ önünde çekişmeli usullere tabi olarak incelenmesi gerekir. İlgili kişi, ulusal güvenliğin gerçekten söz konusu olup olmadığını sorgulayabilmelidir. Her ne kadar idarenin ulusal güvenliğe dair değerlendirmesi özel bir ağırlığa sahip olsa da bağımsız makam, olaylarda makul bir temel bulunmadığında veya yorumun hukuksuz, keyfi ve ortak anlayışa aykırı olduğu durumlarda müdahale edebilmelidir (Al-</w:t>
      </w:r>
      <w:proofErr w:type="spellStart"/>
      <w:r w:rsidRPr="00492203">
        <w:rPr>
          <w:rFonts w:ascii="Arial Narrow" w:eastAsia="Times New Roman" w:hAnsi="Arial Narrow" w:cs="Times New Roman"/>
          <w:szCs w:val="24"/>
          <w:lang w:val="tr-TR" w:eastAsia="tr-TR"/>
        </w:rPr>
        <w:t>Nashif</w:t>
      </w:r>
      <w:proofErr w:type="spellEnd"/>
      <w:r w:rsidRPr="00492203">
        <w:rPr>
          <w:rFonts w:ascii="Arial Narrow" w:eastAsia="Times New Roman" w:hAnsi="Arial Narrow" w:cs="Times New Roman"/>
          <w:szCs w:val="24"/>
          <w:lang w:val="tr-TR" w:eastAsia="tr-TR"/>
        </w:rPr>
        <w:t xml:space="preserve">/Bulgaristan). Bu yaklaşım N.F./İtalya kararında somutlaşmıştır. AİHM, bir hâkime mason locasına üyeliği nedeniyle disiplin cezası öngören idari düzenlemenin, yargısal görevlerin gereği gibi yerine getirilmesi yükümlülüğü ile bağdaşmayacağını öngörülebilir kılmadığını belirtmiştir. Bu nedenle, disiplin sürecinin işletilmesi ve uyarma cezası verilmesi, “yasayla öngörülme” koşulunu karşılamamış ve </w:t>
      </w: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11. maddesinin ihlali sonucunu doğurmuştur.</w:t>
      </w:r>
    </w:p>
    <w:p w14:paraId="434FBBB2"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Genel Kurulu, gerekçeli kararında da belirtildiği üzere, başvurucu dâhil tüm hâkim ve savcıların mesleğe kabullerinden karar tarihine kadar geçen süredeki özel ve </w:t>
      </w:r>
      <w:r w:rsidRPr="00492203">
        <w:rPr>
          <w:rFonts w:ascii="Arial Narrow" w:eastAsia="Times New Roman" w:hAnsi="Arial Narrow" w:cs="Times New Roman"/>
          <w:szCs w:val="24"/>
          <w:lang w:val="tr-TR" w:eastAsia="tr-TR"/>
        </w:rPr>
        <w:lastRenderedPageBreak/>
        <w:t xml:space="preserve">meslekî yaşamlarındaki faaliyetlerini, sosyal çevreleriyle ilişkilerini ve meslekî kariyerlerini değerlendirmeye almıştır. Ancak başvurucu, 15 Temmuz 2016 tarihinden hemen sonra gözaltına alınmış ve tutuklanmıştır. Dolayısıyla, meslekten çıkarma kararında, başvurucunun 15 Temmuz sonrasındaki herhangi bir faaliyeti veya sosyal ilişkisinin dikkate alınmış olması mümkün değildir. Bu durum,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kararının dayanağını oluşturan 667 sayılı KHK’nın 3. maddesinin, geçmişe dönük olası eylem ve ilişkilere dayanarak sonuç doğurduğunu göstermektedir. Oysa, kanunların geçmişe etkili olmaması, hukuk devletinde yasaların sahip olması gereken temel bir ilkedir. Bu nedenle 667 sayılı KHK’nın 3. maddesi, geriye yürür biçimde sonuç doğurması nedeniyle de hukuk devleti ve hukukun üstünlüğü prensiplerine aykırıdır.</w:t>
      </w:r>
    </w:p>
    <w:p w14:paraId="64E06A56"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8. maddesinde düzenlenen hakka müdahaleye imkân veren </w:t>
      </w:r>
      <w:r w:rsidRPr="00492203">
        <w:rPr>
          <w:rFonts w:ascii="Arial Narrow" w:eastAsia="Times New Roman" w:hAnsi="Arial Narrow" w:cs="Times New Roman"/>
          <w:b/>
          <w:bCs/>
          <w:szCs w:val="24"/>
          <w:lang w:val="tr-TR" w:eastAsia="tr-TR"/>
        </w:rPr>
        <w:t>bir düzenlemenin taşıması gereken temel koşullardan biri de “</w:t>
      </w:r>
      <w:proofErr w:type="spellStart"/>
      <w:r w:rsidRPr="00492203">
        <w:rPr>
          <w:rFonts w:ascii="Arial Narrow" w:eastAsia="Times New Roman" w:hAnsi="Arial Narrow" w:cs="Times New Roman"/>
          <w:b/>
          <w:bCs/>
          <w:szCs w:val="24"/>
          <w:lang w:val="tr-TR" w:eastAsia="tr-TR"/>
        </w:rPr>
        <w:t>erişilebilirlik”tir</w:t>
      </w:r>
      <w:proofErr w:type="spellEnd"/>
      <w:r w:rsidRPr="00492203">
        <w:rPr>
          <w:rFonts w:ascii="Arial Narrow" w:eastAsia="Times New Roman" w:hAnsi="Arial Narrow" w:cs="Times New Roman"/>
          <w:szCs w:val="24"/>
          <w:lang w:val="tr-TR" w:eastAsia="tr-TR"/>
        </w:rPr>
        <w:t>. Erişilebilirlik, kişinin belirli bir davranışta bulunduğu veya sosyal bir ilişki kurduğu anda, bu davranış ya da ilişkilerin hangi sonuçlara yol açacağını ve hangi yaptırımlara bağlandığını gösteren hukuk kuralları hakkında yeterli bilgiye sahip olabilmesini ya da bu kuralları öğrenebilecek durumda bulunmasını ifade eder. Başka bir deyişle, bireylerin eylem ve ilişkilerinin sonuçlarını öngörebilmelerini sağlayacak hukuk kurallarına açık ve anlaşılır bir şekilde ulaşabilmeleri gerekir.</w:t>
      </w:r>
    </w:p>
    <w:p w14:paraId="105C5ACF"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Bakanlar Kurulu tarafından kabul edildiği 23 Temmuz 2016 tarihinden önceki döneme dair, suç teşkil etmeyen eylem ve ilişkilerden sonuç çıkarmaya matuf geçmişe etkili 667 sayılı KHK’nın 3. maddesi bu haliyle “erişilebilirlik” kriterini taşımamaktadır. Bu maddenin, erişilebilir bir yasal düzenleme olup olmadığı değerlendirilirken, Türkiye’de herhangi bir dini ya da siyasi grup veya oluşum ile irtibatlı ya da iltisaklı olmanın 23 Temmuz 2016 tarihinden önce (şu an dahil) yaptırım gerektiren bir eylem olarak düzenlenmediği dikkate alınmalıdır.</w:t>
      </w:r>
      <w:r w:rsidRPr="00492203">
        <w:rPr>
          <w:rFonts w:ascii="Arial Narrow" w:hAnsi="Arial Narrow" w:cs="Times New Roman"/>
          <w:szCs w:val="24"/>
          <w:lang w:val="tr-TR"/>
        </w:rPr>
        <w:t xml:space="preserve"> </w:t>
      </w:r>
      <w:r w:rsidRPr="00492203">
        <w:rPr>
          <w:rFonts w:ascii="Arial Narrow" w:eastAsia="Times New Roman" w:hAnsi="Arial Narrow" w:cs="Times New Roman"/>
          <w:szCs w:val="24"/>
          <w:lang w:val="tr-TR" w:eastAsia="tr-TR"/>
        </w:rPr>
        <w:t xml:space="preserve">Ayrıca, böyle bir durumun yargının güvenilirliği ve saygınlığını korumak bakımından meslekten çıkarılmayı gerektirdiğine dair ne herhangi bir yargı kararı ne de yerleşik bir idari uygulama mevcuttu.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Genel Kurulu kararlarında atıf yapılan MGK kararları ise, gizli nitelikte olup yalnızca Bakanlar Kurulu’na yönelik tavsiye mahiyetindedir. Bu kararlar, Bakanlar Kurulu tarafından erişilebilir ve bağlayıcı bir düzenleyici işleme dönüştürülmediği gibi, yaptırım gerektiren bir durum olarak da düzenlenmemiştir. Aynı şekilde,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tarafından da bu konuda hiçbir dönemde kamuya açık bir açıklama yapılmamış ve düzenleyici bir işlem ihdas edilmemiştir.</w:t>
      </w:r>
    </w:p>
    <w:p w14:paraId="42146A73"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AİHS m. 8’de düzenlenen hakka müdahaleye imkân veren </w:t>
      </w:r>
      <w:r w:rsidRPr="00492203">
        <w:rPr>
          <w:rFonts w:ascii="Arial Narrow" w:eastAsia="Times New Roman" w:hAnsi="Arial Narrow" w:cs="Times New Roman"/>
          <w:b/>
          <w:bCs/>
          <w:szCs w:val="24"/>
          <w:lang w:val="tr-TR" w:eastAsia="tr-TR"/>
        </w:rPr>
        <w:t>bir düzenlemenin taşıması gereken temel koşullardan bir diğeri ise “</w:t>
      </w:r>
      <w:proofErr w:type="spellStart"/>
      <w:r w:rsidRPr="00492203">
        <w:rPr>
          <w:rFonts w:ascii="Arial Narrow" w:eastAsia="Times New Roman" w:hAnsi="Arial Narrow" w:cs="Times New Roman"/>
          <w:b/>
          <w:bCs/>
          <w:szCs w:val="24"/>
          <w:lang w:val="tr-TR" w:eastAsia="tr-TR"/>
        </w:rPr>
        <w:t>öngörülebilirlik”tir</w:t>
      </w:r>
      <w:proofErr w:type="spellEnd"/>
      <w:r w:rsidRPr="00492203">
        <w:rPr>
          <w:rFonts w:ascii="Arial Narrow" w:eastAsia="Times New Roman" w:hAnsi="Arial Narrow" w:cs="Times New Roman"/>
          <w:szCs w:val="24"/>
          <w:lang w:val="tr-TR" w:eastAsia="tr-TR"/>
        </w:rPr>
        <w:t xml:space="preserve">. “Erişilebilir” bir düzenleme </w:t>
      </w:r>
      <w:r w:rsidRPr="00492203">
        <w:rPr>
          <w:rFonts w:ascii="Arial Narrow" w:eastAsia="Times New Roman" w:hAnsi="Arial Narrow" w:cs="Times New Roman"/>
          <w:szCs w:val="24"/>
          <w:lang w:val="tr-TR" w:eastAsia="tr-TR"/>
        </w:rPr>
        <w:lastRenderedPageBreak/>
        <w:t xml:space="preserve">yokluğunda o düzenlemenin “öngörülebilir” olup olmadığı değerlendirmesine gerek yoktur. Öngörülebilir olması ile kastedilen, düzenlemenin, ilgili şahsa davranışlarını düzenleme ve sonuçlarını öngörebilmesine elverişli açıklık ve kesinlikte formüle edilmiş olmasıdır </w:t>
      </w:r>
      <w:r w:rsidRPr="00492203">
        <w:rPr>
          <w:rFonts w:ascii="Arial Narrow" w:eastAsia="Times New Roman" w:hAnsi="Arial Narrow" w:cs="Times New Roman"/>
          <w:szCs w:val="24"/>
          <w:lang w:val="tr-TR"/>
        </w:rPr>
        <w:t>(Sunday Times/Birleşik Krallık)</w:t>
      </w:r>
      <w:r w:rsidRPr="00492203">
        <w:rPr>
          <w:rFonts w:ascii="Arial Narrow" w:eastAsia="Times New Roman" w:hAnsi="Arial Narrow" w:cs="Times New Roman"/>
          <w:szCs w:val="24"/>
          <w:lang w:val="tr-TR" w:eastAsia="tr-TR"/>
        </w:rPr>
        <w:t>.</w:t>
      </w:r>
    </w:p>
    <w:p w14:paraId="2444A0E9"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Ancak, bir an için 667 sayılı KHK’nın ‘erişilebilir’ olduğu kabul edildiğinde bile, bu düzenleme AİHM içtihatları uyarınca öngörülebilir nitelikte değildir. Zira öncelikle, söz konusu madde kişilere, davranışları düzenlemelerine ve sonuçlarını öngörebilmelerine elverişli kesinlikte formüle edilmiş değildir. </w:t>
      </w:r>
      <w:proofErr w:type="spellStart"/>
      <w:r w:rsidRPr="00492203">
        <w:rPr>
          <w:rFonts w:ascii="Arial Narrow" w:eastAsia="Times New Roman" w:hAnsi="Arial Narrow" w:cs="Times New Roman"/>
          <w:szCs w:val="24"/>
          <w:lang w:val="tr-TR" w:eastAsia="tr-TR"/>
        </w:rPr>
        <w:t>İstihbari</w:t>
      </w:r>
      <w:proofErr w:type="spellEnd"/>
      <w:r w:rsidRPr="00492203">
        <w:rPr>
          <w:rFonts w:ascii="Arial Narrow" w:eastAsia="Times New Roman" w:hAnsi="Arial Narrow" w:cs="Times New Roman"/>
          <w:szCs w:val="24"/>
          <w:lang w:val="tr-TR" w:eastAsia="tr-TR"/>
        </w:rPr>
        <w:t xml:space="preserve"> birer kavram olan ve Türk hukuk sistemine ilk kez 667 sayılı ve müteakip KHK’lar ile giren “iltisak ve irtibat” kavramlarının anlamları belirsiz olup bu kavramların kapsamını belirten yargı kararı dahi bulunmamaktaydı. Kişilerin ne tür davranış ya da sosyal ilişkilerinin ve hangi döneme, ne ölçüde uzak geçmişine dair veya hangi ilişki seviyesinden sonraki davranış ya da ilişkilerinin hangi objektif ölçütlere göre bu kavramların kapsamında değerlendirileceği ne KHK’da ne de başka bir mevzuatta ya da yargı içtihatlarında belirlenmemişti. Bu nedenle, başvurucunun çevresiyle sosyal ilişkilerini sürdürdüğü sırada, ileride mevzuata eklenecek içeriği belirsiz bu kavramlarla meslekten çıkarılabileceğini öngörebilmesi mümkün değildi. </w:t>
      </w:r>
    </w:p>
    <w:p w14:paraId="77DDCA08" w14:textId="08755813"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AYM ve Danıştay, söz konusu kavramların yeterli hukuki belirlilik taşıdığını </w:t>
      </w:r>
      <w:r w:rsidR="0033659D">
        <w:rPr>
          <w:rFonts w:ascii="Arial Narrow" w:eastAsia="Times New Roman" w:hAnsi="Arial Narrow" w:cs="Times New Roman"/>
          <w:szCs w:val="24"/>
          <w:lang w:val="tr-TR" w:eastAsia="tr-TR"/>
        </w:rPr>
        <w:t>kabul etmiştir</w:t>
      </w:r>
      <w:r w:rsidRPr="00492203">
        <w:rPr>
          <w:rFonts w:ascii="Arial Narrow" w:eastAsia="Times New Roman" w:hAnsi="Arial Narrow" w:cs="Times New Roman"/>
          <w:szCs w:val="24"/>
          <w:lang w:val="tr-TR" w:eastAsia="tr-TR"/>
        </w:rPr>
        <w:t>. Ancak bu kabul, KHK ile getirildikten yıllar sonra yalnızca Türk Dil Kurumu sözlüğünden yapılan alıntılarla açıklanmaya çalışılmış, bunun ötesinde herhangi bir gerekçe ortaya konulmamıştır. Bu kavramların ne önceki yargı kararlarında yer aldığı ne de sonradan mahkeme içtihatlarıyla somutlaştırıldığı söylenebilir. Nitekim aynı kurum ve kişilerle geçmişte yoğun ilişkileri bulunan hükümet yanlısı kişiler (ör. çocuklarını Cemaat okullarına gönderen hâkim/savcılar) hakkında bu tür “</w:t>
      </w:r>
      <w:proofErr w:type="spellStart"/>
      <w:r w:rsidRPr="00492203">
        <w:rPr>
          <w:rFonts w:ascii="Arial Narrow" w:eastAsia="Times New Roman" w:hAnsi="Arial Narrow" w:cs="Times New Roman"/>
          <w:szCs w:val="24"/>
          <w:lang w:val="tr-TR" w:eastAsia="tr-TR"/>
        </w:rPr>
        <w:t>deliller”in</w:t>
      </w:r>
      <w:proofErr w:type="spellEnd"/>
      <w:r w:rsidRPr="00492203">
        <w:rPr>
          <w:rFonts w:ascii="Arial Narrow" w:eastAsia="Times New Roman" w:hAnsi="Arial Narrow" w:cs="Times New Roman"/>
          <w:szCs w:val="24"/>
          <w:lang w:val="tr-TR" w:eastAsia="tr-TR"/>
        </w:rPr>
        <w:t xml:space="preserve"> hiç kullanılmaması, normun belirsizliği nedeniyle keyfî yoruma ve seçmeci uygulamaya ne derece açık olduğunun göstergesidir. Sonuç olarak düzenleme, öngörülebilirlik ve hukukî güvenlik gereklerini karşılamayan, keyfiliğe açık bir çerçeve çizmektedir. Venedik Komisyonu raporlarında da belirtildiği gibi, özellikle yargı bağımsızlığının korunması ve hukuki güvenlik açısından disiplin sorumluluğu gerektiren hallerin kesinliği ve öngörülebilirliği gerekir.</w:t>
      </w:r>
    </w:p>
    <w:p w14:paraId="129C8860"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Başvurucu bir yargı mensubu olarak Anayasanın 139. maddesinde düzenlenen “hakimlik teminatının” koruması altında bulunmaktaydı. Görevden uzaklaştırma da dahil hâkim ve savcılar hakkında disiplin cezası verilmesine dair usulü teminatlar 2802 sayılı Kanunun 62 ila 76. maddelerinde düzenlenmiştir. Meslekten çıkarılmasının dayanağını oluşturan 667 sayılı KHK’da, 3. madde uyarınca meslekten çıkarma tedbirinin uygulanması bakımından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Genel Kurulu yetkilendirilmiş ancak bu karar alma sürecinde izlenecek </w:t>
      </w:r>
      <w:r w:rsidRPr="00492203">
        <w:rPr>
          <w:rFonts w:ascii="Arial Narrow" w:eastAsia="Times New Roman" w:hAnsi="Arial Narrow" w:cs="Times New Roman"/>
          <w:szCs w:val="24"/>
          <w:lang w:val="tr-TR" w:eastAsia="tr-TR"/>
        </w:rPr>
        <w:lastRenderedPageBreak/>
        <w:t xml:space="preserve">usulle ilgili herhangi bir düzenlemeye yer verilmemiştir.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tarafından temel </w:t>
      </w:r>
      <w:proofErr w:type="spellStart"/>
      <w:r w:rsidRPr="00492203">
        <w:rPr>
          <w:rFonts w:ascii="Arial Narrow" w:eastAsia="Times New Roman" w:hAnsi="Arial Narrow" w:cs="Times New Roman"/>
          <w:szCs w:val="24"/>
          <w:lang w:val="tr-TR" w:eastAsia="tr-TR"/>
        </w:rPr>
        <w:t>usulî</w:t>
      </w:r>
      <w:proofErr w:type="spellEnd"/>
      <w:r w:rsidRPr="00492203">
        <w:rPr>
          <w:rFonts w:ascii="Arial Narrow" w:eastAsia="Times New Roman" w:hAnsi="Arial Narrow" w:cs="Times New Roman"/>
          <w:szCs w:val="24"/>
          <w:lang w:val="tr-TR" w:eastAsia="tr-TR"/>
        </w:rPr>
        <w:t xml:space="preserve"> güvenceler tanınmadan başvurucu hakkında meslekten çıkarılma yaptırımı uygulanmıştır. </w:t>
      </w:r>
    </w:p>
    <w:p w14:paraId="1A287AE8" w14:textId="4D4F6542"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Bu sebeplerle, kişisel itibarı da dahil, başvurucunun özel yaşamına en ağır şekilde müdahale teşkil eden, dolayısıyla tüm mali ve özlük haklarından mahrumiyetine ve ağır manevi zarara uğramasına neden olan meslekten çıkarılmasının dayanağını oluşturan 667 sayılı KHK’nın 3. maddesi, </w:t>
      </w: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8/2</w:t>
      </w:r>
      <w:r w:rsidR="00EA4F51">
        <w:rPr>
          <w:rFonts w:ascii="Arial Narrow" w:eastAsia="Times New Roman" w:hAnsi="Arial Narrow" w:cs="Times New Roman"/>
          <w:szCs w:val="24"/>
          <w:lang w:val="tr-TR" w:eastAsia="tr-TR"/>
        </w:rPr>
        <w:t>.</w:t>
      </w:r>
      <w:r w:rsidRPr="00492203">
        <w:rPr>
          <w:rFonts w:ascii="Arial Narrow" w:eastAsia="Times New Roman" w:hAnsi="Arial Narrow" w:cs="Times New Roman"/>
          <w:szCs w:val="24"/>
          <w:lang w:val="tr-TR" w:eastAsia="tr-TR"/>
        </w:rPr>
        <w:t xml:space="preserve"> maddesinde </w:t>
      </w:r>
      <w:r w:rsidR="007E5186">
        <w:rPr>
          <w:rFonts w:ascii="Arial Narrow" w:eastAsia="Times New Roman" w:hAnsi="Arial Narrow" w:cs="Times New Roman"/>
          <w:szCs w:val="24"/>
          <w:lang w:val="tr-TR" w:eastAsia="tr-TR"/>
        </w:rPr>
        <w:t xml:space="preserve">öngörülen </w:t>
      </w:r>
      <w:r w:rsidRPr="00492203">
        <w:rPr>
          <w:rFonts w:ascii="Arial Narrow" w:eastAsia="Times New Roman" w:hAnsi="Arial Narrow" w:cs="Times New Roman"/>
          <w:szCs w:val="24"/>
          <w:lang w:val="tr-TR" w:eastAsia="tr-TR"/>
        </w:rPr>
        <w:t>özel yaşam hakkına müdahaleye imkân veren bir yasanın taşıması gereken erişilebilirlik, öngörülebilirlik ve hukukun üstünlüğüne uyumlu olma kriterlerini taşımamaktadır. Dolayısıyla, müdahaleye dolayısıyla meslekten çıkarmaya dayanak bir kanunî düzenleme olarak kabul edilemez.</w:t>
      </w:r>
    </w:p>
    <w:p w14:paraId="1DFFDA52"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Mesleki ya da özel yaşamına ait kişisel veri niteliğindeki fişleme bilgilerin, hakkında herhangi bir disiplin soruşturması olmaksızın toplanması, depolanması ve kullanılmasına ilişkin HS(Y)</w:t>
      </w:r>
      <w:proofErr w:type="spellStart"/>
      <w:r w:rsidRPr="00492203">
        <w:rPr>
          <w:rFonts w:ascii="Arial Narrow" w:eastAsia="Times New Roman" w:hAnsi="Arial Narrow" w:cs="Times New Roman"/>
          <w:szCs w:val="24"/>
          <w:lang w:val="tr-TR" w:eastAsia="tr-TR"/>
        </w:rPr>
        <w:t>K’ya</w:t>
      </w:r>
      <w:proofErr w:type="spellEnd"/>
      <w:r w:rsidRPr="00492203">
        <w:rPr>
          <w:rFonts w:ascii="Arial Narrow" w:eastAsia="Times New Roman" w:hAnsi="Arial Narrow" w:cs="Times New Roman"/>
          <w:szCs w:val="24"/>
          <w:lang w:val="tr-TR" w:eastAsia="tr-TR"/>
        </w:rPr>
        <w:t xml:space="preserve"> kanunla verilen bir yetki ve görev bulunmamaktadır. Bu nedenle,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tarafından özel yaşama müdahale teşkil eden bu işlemler de kanunla öngörülme kuralına aykırılık teşkil etmektedir. HS(Y)</w:t>
      </w:r>
      <w:proofErr w:type="spellStart"/>
      <w:r w:rsidRPr="00492203">
        <w:rPr>
          <w:rFonts w:ascii="Arial Narrow" w:eastAsia="Times New Roman" w:hAnsi="Arial Narrow" w:cs="Times New Roman"/>
          <w:szCs w:val="24"/>
          <w:lang w:val="tr-TR" w:eastAsia="tr-TR"/>
        </w:rPr>
        <w:t>K’ya</w:t>
      </w:r>
      <w:proofErr w:type="spellEnd"/>
      <w:r w:rsidRPr="00492203">
        <w:rPr>
          <w:rFonts w:ascii="Arial Narrow" w:eastAsia="Times New Roman" w:hAnsi="Arial Narrow" w:cs="Times New Roman"/>
          <w:szCs w:val="24"/>
          <w:lang w:val="tr-TR" w:eastAsia="tr-TR"/>
        </w:rPr>
        <w:t xml:space="preserve"> kanunlarla verilen hâkim/savcıların özlük hakları ile ilgili karar alma yetkilerinin hâkim/savcılara ilişkin doğruluğu teyit edilmeyen her türlü bilgiyi toplama ve gizli dosyalarda arşivleme ve keyfilik riski içerecek şekilde, aksini kanıtlama imkânı sunmaksızın kullanma yetkisi verdiği biçimde yorumlanamaz. Bu konularda verilecek yetkilerin kullanımına ilişkin takdir yetkisinin kapsamı ve kullanım tarzı yeterince açık biçimde gösterilmelidir (Rotoru/Romanya; </w:t>
      </w:r>
      <w:proofErr w:type="spellStart"/>
      <w:r w:rsidRPr="00492203">
        <w:rPr>
          <w:rFonts w:ascii="Arial Narrow" w:eastAsia="Times New Roman" w:hAnsi="Arial Narrow" w:cs="Times New Roman"/>
          <w:szCs w:val="24"/>
          <w:lang w:val="tr-TR" w:eastAsia="tr-TR"/>
        </w:rPr>
        <w:t>Molone</w:t>
      </w:r>
      <w:proofErr w:type="spellEnd"/>
      <w:r w:rsidRPr="00492203">
        <w:rPr>
          <w:rFonts w:ascii="Arial Narrow" w:eastAsia="Times New Roman" w:hAnsi="Arial Narrow" w:cs="Times New Roman"/>
          <w:szCs w:val="24"/>
          <w:lang w:val="tr-TR" w:eastAsia="tr-TR"/>
        </w:rPr>
        <w:t>/Birleşik Krallık kararı). Bu bağlamda mevzuatın, hangi bilgilerin hangi usulde toplanacağını da belirtmesi gerekmektedir. Bu haliyle gerek 667 sayılı KHK’da gerekse de HS(Y)</w:t>
      </w:r>
      <w:proofErr w:type="spellStart"/>
      <w:r w:rsidRPr="00492203">
        <w:rPr>
          <w:rFonts w:ascii="Arial Narrow" w:eastAsia="Times New Roman" w:hAnsi="Arial Narrow" w:cs="Times New Roman"/>
          <w:szCs w:val="24"/>
          <w:lang w:val="tr-TR" w:eastAsia="tr-TR"/>
        </w:rPr>
        <w:t>K’nın</w:t>
      </w:r>
      <w:proofErr w:type="spellEnd"/>
      <w:r w:rsidRPr="00492203">
        <w:rPr>
          <w:rFonts w:ascii="Arial Narrow" w:eastAsia="Times New Roman" w:hAnsi="Arial Narrow" w:cs="Times New Roman"/>
          <w:szCs w:val="24"/>
          <w:lang w:val="tr-TR" w:eastAsia="tr-TR"/>
        </w:rPr>
        <w:t xml:space="preserve"> yetkilerini düzenleyen mevzuatta HS(Y)</w:t>
      </w:r>
      <w:proofErr w:type="spellStart"/>
      <w:r w:rsidRPr="00492203">
        <w:rPr>
          <w:rFonts w:ascii="Arial Narrow" w:eastAsia="Times New Roman" w:hAnsi="Arial Narrow" w:cs="Times New Roman"/>
          <w:szCs w:val="24"/>
          <w:lang w:val="tr-TR" w:eastAsia="tr-TR"/>
        </w:rPr>
        <w:t>K’ya</w:t>
      </w:r>
      <w:proofErr w:type="spellEnd"/>
      <w:r w:rsidRPr="00492203">
        <w:rPr>
          <w:rFonts w:ascii="Arial Narrow" w:eastAsia="Times New Roman" w:hAnsi="Arial Narrow" w:cs="Times New Roman"/>
          <w:szCs w:val="24"/>
          <w:lang w:val="tr-TR" w:eastAsia="tr-TR"/>
        </w:rPr>
        <w:t xml:space="preserve"> verilen takdir yetkisinin kullanımının kapsamı ve biçimi ile ilgili makul açıklıkta bir kanuni düzenleme bulunmamaktadır. Bu çerçevede,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kararının dayanağını oluşturan sosyal çevre bilgisi ya da mahallinde yapılan araştırmaların ne şekilde ve hangi ölçülere göre elde edileceği belli olmadığı gibi, HS(Y)</w:t>
      </w:r>
      <w:proofErr w:type="spellStart"/>
      <w:r w:rsidRPr="00492203">
        <w:rPr>
          <w:rFonts w:ascii="Arial Narrow" w:eastAsia="Times New Roman" w:hAnsi="Arial Narrow" w:cs="Times New Roman"/>
          <w:szCs w:val="24"/>
          <w:lang w:val="tr-TR" w:eastAsia="tr-TR"/>
        </w:rPr>
        <w:t>K’nın</w:t>
      </w:r>
      <w:proofErr w:type="spellEnd"/>
      <w:r w:rsidRPr="00492203">
        <w:rPr>
          <w:rFonts w:ascii="Arial Narrow" w:eastAsia="Times New Roman" w:hAnsi="Arial Narrow" w:cs="Times New Roman"/>
          <w:szCs w:val="24"/>
          <w:lang w:val="tr-TR" w:eastAsia="tr-TR"/>
        </w:rPr>
        <w:t xml:space="preserve"> bunları toplama ve depolama yetkisi de yoktur. Bu nedenlerle, ihraç kararına dayanak yapılan doğruluğu </w:t>
      </w:r>
      <w:proofErr w:type="spellStart"/>
      <w:r w:rsidRPr="00492203">
        <w:rPr>
          <w:rFonts w:ascii="Arial Narrow" w:eastAsia="Times New Roman" w:hAnsi="Arial Narrow" w:cs="Times New Roman"/>
          <w:szCs w:val="24"/>
          <w:lang w:val="tr-TR" w:eastAsia="tr-TR"/>
        </w:rPr>
        <w:t>teyid</w:t>
      </w:r>
      <w:proofErr w:type="spellEnd"/>
      <w:r w:rsidRPr="00492203">
        <w:rPr>
          <w:rFonts w:ascii="Arial Narrow" w:eastAsia="Times New Roman" w:hAnsi="Arial Narrow" w:cs="Times New Roman"/>
          <w:szCs w:val="24"/>
          <w:lang w:val="tr-TR" w:eastAsia="tr-TR"/>
        </w:rPr>
        <w:t xml:space="preserve"> edilmeyen bilgileri sistematik olarak derleyip HS(Y)</w:t>
      </w:r>
      <w:proofErr w:type="spellStart"/>
      <w:r w:rsidRPr="00492203">
        <w:rPr>
          <w:rFonts w:ascii="Arial Narrow" w:eastAsia="Times New Roman" w:hAnsi="Arial Narrow" w:cs="Times New Roman"/>
          <w:szCs w:val="24"/>
          <w:lang w:val="tr-TR" w:eastAsia="tr-TR"/>
        </w:rPr>
        <w:t>K’nın</w:t>
      </w:r>
      <w:proofErr w:type="spellEnd"/>
      <w:r w:rsidRPr="00492203">
        <w:rPr>
          <w:rFonts w:ascii="Arial Narrow" w:eastAsia="Times New Roman" w:hAnsi="Arial Narrow" w:cs="Times New Roman"/>
          <w:szCs w:val="24"/>
          <w:lang w:val="tr-TR" w:eastAsia="tr-TR"/>
        </w:rPr>
        <w:t xml:space="preserve"> ihraç kararına şeffaf olmayan biçimde dayanak yapması, başvurucunun özel yaşamıma bir müdahale oluşturmakta olup bu müdahalenin kanuni dayanağı bulunmamaktadır.  Bu bağlamda belirtmek gerekir ki, 2802 sayılı Kanunun 58-60. maddeleri arasında, açık ve gizli sicil dosyalarında nelerin tutulacağı açıkça sayılmıştır. Bu bilgiler dışında bilgi ve belgelerin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tarafından derlenmesi yasal olarak mümkün değildir.</w:t>
      </w:r>
    </w:p>
    <w:p w14:paraId="7B672C90"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Başvurucunun meslekten çıkarılmasına dair kararının Resmî </w:t>
      </w:r>
      <w:proofErr w:type="spellStart"/>
      <w:r w:rsidRPr="00492203">
        <w:rPr>
          <w:rFonts w:ascii="Arial Narrow" w:eastAsia="Times New Roman" w:hAnsi="Arial Narrow" w:cs="Times New Roman"/>
          <w:szCs w:val="24"/>
          <w:lang w:val="tr-TR" w:eastAsia="tr-TR"/>
        </w:rPr>
        <w:t>Gazete’de</w:t>
      </w:r>
      <w:proofErr w:type="spellEnd"/>
      <w:r w:rsidRPr="00492203">
        <w:rPr>
          <w:rFonts w:ascii="Arial Narrow" w:eastAsia="Times New Roman" w:hAnsi="Arial Narrow" w:cs="Times New Roman"/>
          <w:szCs w:val="24"/>
          <w:lang w:val="tr-TR" w:eastAsia="tr-TR"/>
        </w:rPr>
        <w:t xml:space="preserve"> yayımlanmasının dayanağını 670 ve 673 sayılı KHK’ların ilgili hükümleri oluşturmaktadır.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Genel Kurulu söz konusu kararı, ekinde yer alan listeyle birlikte yayımlamıştır. 667 </w:t>
      </w:r>
      <w:r w:rsidRPr="00492203">
        <w:rPr>
          <w:rFonts w:ascii="Arial Narrow" w:eastAsia="Times New Roman" w:hAnsi="Arial Narrow" w:cs="Times New Roman"/>
          <w:szCs w:val="24"/>
          <w:lang w:val="tr-TR" w:eastAsia="tr-TR"/>
        </w:rPr>
        <w:lastRenderedPageBreak/>
        <w:t xml:space="preserve">sayılı KHK’nın 3. maddesinin, hukukun üstünlüğü, dolayısıyla </w:t>
      </w: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8. maddesi anlamında “kanunla öngörülme” şartını taşıyan bir düzenleme olmadığına dair yukarıda belirtilen argümanlar ışığında, kararın başvurucunun ismine listede yer vererek Resmî Gazetede yayınlanmasına dair bu düzenlemeler de ilave güvenceler öngörmediğinden hukukun üstünlüğüne aykırıdır. Nitekim HS(Y)</w:t>
      </w:r>
      <w:proofErr w:type="spellStart"/>
      <w:r w:rsidRPr="00492203">
        <w:rPr>
          <w:rFonts w:ascii="Arial Narrow" w:eastAsia="Times New Roman" w:hAnsi="Arial Narrow" w:cs="Times New Roman"/>
          <w:szCs w:val="24"/>
          <w:lang w:val="tr-TR" w:eastAsia="tr-TR"/>
        </w:rPr>
        <w:t>K’ya</w:t>
      </w:r>
      <w:proofErr w:type="spellEnd"/>
      <w:r w:rsidRPr="00492203">
        <w:rPr>
          <w:rFonts w:ascii="Arial Narrow" w:eastAsia="Times New Roman" w:hAnsi="Arial Narrow" w:cs="Times New Roman"/>
          <w:szCs w:val="24"/>
          <w:lang w:val="tr-TR" w:eastAsia="tr-TR"/>
        </w:rPr>
        <w:t xml:space="preserve"> tanınan denetimsiz ve kontrolsüz, aynı zamanda her türlü sorumluluğu ortadan kaldıran yetkisini (667 sayılı KHK m.9) kullanması suretiyle hazırlanan meslekten çıkarma kararı, başvurucu da dahil listede isimleri yer alanları karalayıcı içerikli kaleme alınmış ve tüm muhatapların sürekli biçimde terörist ya da başka bir terör örgütü ile irtibatlı olarak damgalanmaları sonucunu doğurmuştur. Bu nedenle, hukukun üstünlüğü ilkesine açıkça aykırı bu düzenlemeler Resmî </w:t>
      </w:r>
      <w:proofErr w:type="spellStart"/>
      <w:r w:rsidRPr="00492203">
        <w:rPr>
          <w:rFonts w:ascii="Arial Narrow" w:eastAsia="Times New Roman" w:hAnsi="Arial Narrow" w:cs="Times New Roman"/>
          <w:szCs w:val="24"/>
          <w:lang w:val="tr-TR" w:eastAsia="tr-TR"/>
        </w:rPr>
        <w:t>Gazete’de</w:t>
      </w:r>
      <w:proofErr w:type="spellEnd"/>
      <w:r w:rsidRPr="00492203">
        <w:rPr>
          <w:rFonts w:ascii="Arial Narrow" w:eastAsia="Times New Roman" w:hAnsi="Arial Narrow" w:cs="Times New Roman"/>
          <w:szCs w:val="24"/>
          <w:lang w:val="tr-TR" w:eastAsia="tr-TR"/>
        </w:rPr>
        <w:t xml:space="preserve"> afişe edilmek ve damgalanmak suretiyle itibar hakkına müdahale edilmesine imkân tanıdığından </w:t>
      </w: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8. maddesi anlamında bir “kanun” niteliği taşımamaktadır. </w:t>
      </w:r>
    </w:p>
    <w:p w14:paraId="40259A08"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Başvurucunun özel hayatına yapılan </w:t>
      </w:r>
      <w:r w:rsidRPr="00492203">
        <w:rPr>
          <w:rFonts w:ascii="Arial Narrow" w:eastAsia="Times New Roman" w:hAnsi="Arial Narrow" w:cs="Times New Roman"/>
          <w:b/>
          <w:bCs/>
          <w:szCs w:val="24"/>
          <w:lang w:val="tr-TR" w:eastAsia="tr-TR"/>
        </w:rPr>
        <w:t>müdahalelerin meşru bir amacı da bulunmamaktadır.</w:t>
      </w:r>
      <w:r w:rsidRPr="00492203">
        <w:rPr>
          <w:rFonts w:ascii="Arial Narrow" w:eastAsia="Times New Roman" w:hAnsi="Arial Narrow" w:cs="Times New Roman"/>
          <w:szCs w:val="24"/>
          <w:lang w:val="tr-TR" w:eastAsia="tr-TR"/>
        </w:rPr>
        <w:t xml:space="preserve">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Genel Kurulu’nun meslekten çıkarma kararının son kısmında, meslekten çıkarma amacının “yargının bağımsızlığı ve tarafsızlığını sağlamak” olduğu belirtilmiştir. Her şeyden önce </w:t>
      </w: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8.  maddesinde, 10. maddeden farklı olarak, özel yaşama müdahaleye imkân veren, bu müdahaleyi meşru kılan böyle bir meşru amaca yer verilmemiştir. Venedik Komisyonu raporlarında belirtildiği gibi, siyasi sebeplerle ya da siyasi motifli görevden almalar, caydırıcı etki oluşturma potansiyeli nedeniyle yargının bağımsızlığına gerçek bir tehdit oluşturmaktadır.</w:t>
      </w:r>
    </w:p>
    <w:p w14:paraId="7D92F959"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Başvurucuya atfedilen soyut irtibat ve iltisak iddiasının yargı mensubunun sadakat yükümlülüğüne aykırı olduğu iddia edilmiştir. Oysaki AİHM, yargı mensuplarının sadakat yükümlülüğünü değerlendirirken, bu yükümlülüğün yürütme erkine değil, hukukun üstünlüğüne ve demokratik düzene bağlılık şeklinde anlaşılması gerektiğini vurgulamaktadır. Bilgin v. Türkiye (</w:t>
      </w:r>
      <w:proofErr w:type="spellStart"/>
      <w:proofErr w:type="gramStart"/>
      <w:r w:rsidRPr="00492203">
        <w:rPr>
          <w:rFonts w:ascii="Arial Narrow" w:eastAsia="Times New Roman" w:hAnsi="Arial Narrow" w:cs="Times New Roman"/>
          <w:szCs w:val="24"/>
          <w:lang w:val="tr-TR"/>
        </w:rPr>
        <w:t>B.No</w:t>
      </w:r>
      <w:proofErr w:type="spellEnd"/>
      <w:proofErr w:type="gramEnd"/>
      <w:r w:rsidRPr="00492203">
        <w:rPr>
          <w:rFonts w:ascii="Arial Narrow" w:eastAsia="Times New Roman" w:hAnsi="Arial Narrow" w:cs="Times New Roman"/>
          <w:szCs w:val="24"/>
          <w:lang w:val="tr-TR"/>
        </w:rPr>
        <w:t xml:space="preserve">: 1571/07, 09/03/2021, § 79) kararında, yürütmeye hiyerarşik olarak bağlı memurlara ilişkin içtihatların yargı mensuplarına uygulanamayacağı belirtilmiştir. </w:t>
      </w:r>
      <w:proofErr w:type="spellStart"/>
      <w:r w:rsidRPr="00492203">
        <w:rPr>
          <w:rFonts w:ascii="Arial Narrow" w:eastAsia="Times New Roman" w:hAnsi="Arial Narrow" w:cs="Times New Roman"/>
          <w:szCs w:val="24"/>
          <w:lang w:val="tr-TR"/>
        </w:rPr>
        <w:t>AİHM’e</w:t>
      </w:r>
      <w:proofErr w:type="spellEnd"/>
      <w:r w:rsidRPr="00492203">
        <w:rPr>
          <w:rFonts w:ascii="Arial Narrow" w:eastAsia="Times New Roman" w:hAnsi="Arial Narrow" w:cs="Times New Roman"/>
          <w:szCs w:val="24"/>
          <w:lang w:val="tr-TR"/>
        </w:rPr>
        <w:t xml:space="preserve"> göre, devlet memurları için sadakat, hükümet politikalarını uygulama yükümlülüğüne dayanırken, yargı mensupları hükümetin yanlış davranışlarını ve yetki kötüye kullanımını denetleme gibi bağımsız bir rol oynar. Bu nedenle, yargı mensuplarının sadakat yükümlülüğü, hukukun üstünlüğüne ve demokrasiye bağlılık olarak yorumlanmalıdır.</w:t>
      </w:r>
    </w:p>
    <w:p w14:paraId="0A74C060" w14:textId="572A93F1"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Başvurucunun ByLock kullanıcısı olması iddiası sadakat yükümlülüğüne aykırılık teşkil etmeyecektir. Hükümete göre bu program sadece cemaat üyeleri tarafından kullanılmaktadır. Bu noktada AİHM, ByLock kullanımının </w:t>
      </w:r>
      <w:proofErr w:type="spellStart"/>
      <w:r w:rsidRPr="00492203">
        <w:rPr>
          <w:rFonts w:ascii="Arial Narrow" w:eastAsia="Times New Roman" w:hAnsi="Arial Narrow" w:cs="Times New Roman"/>
          <w:i/>
          <w:iCs/>
          <w:szCs w:val="24"/>
          <w:lang w:val="tr-TR"/>
        </w:rPr>
        <w:t>prima</w:t>
      </w:r>
      <w:proofErr w:type="spellEnd"/>
      <w:r w:rsidRPr="00492203">
        <w:rPr>
          <w:rFonts w:ascii="Arial Narrow" w:eastAsia="Times New Roman" w:hAnsi="Arial Narrow" w:cs="Times New Roman"/>
          <w:i/>
          <w:iCs/>
          <w:szCs w:val="24"/>
          <w:lang w:val="tr-TR"/>
        </w:rPr>
        <w:t xml:space="preserve"> </w:t>
      </w:r>
      <w:proofErr w:type="spellStart"/>
      <w:r w:rsidRPr="00492203">
        <w:rPr>
          <w:rFonts w:ascii="Arial Narrow" w:eastAsia="Times New Roman" w:hAnsi="Arial Narrow" w:cs="Times New Roman"/>
          <w:i/>
          <w:iCs/>
          <w:szCs w:val="24"/>
          <w:lang w:val="tr-TR"/>
        </w:rPr>
        <w:t>facie</w:t>
      </w:r>
      <w:proofErr w:type="spellEnd"/>
      <w:r w:rsidRPr="00492203">
        <w:rPr>
          <w:rFonts w:ascii="Arial Narrow" w:eastAsia="Times New Roman" w:hAnsi="Arial Narrow" w:cs="Times New Roman"/>
          <w:szCs w:val="24"/>
          <w:lang w:val="tr-TR"/>
        </w:rPr>
        <w:t xml:space="preserve"> (ilk bakışta) Gülen Hareketi ile bir tür bağlantıya işaret edebileceğini belirtmiştir (Yalçınkaya, § 259). Mesaj </w:t>
      </w:r>
      <w:r w:rsidRPr="00492203">
        <w:rPr>
          <w:rFonts w:ascii="Arial Narrow" w:eastAsia="Times New Roman" w:hAnsi="Arial Narrow" w:cs="Times New Roman"/>
          <w:szCs w:val="24"/>
          <w:lang w:val="tr-TR"/>
        </w:rPr>
        <w:lastRenderedPageBreak/>
        <w:t xml:space="preserve">içerikleri ve bağlamları (Akgün, §173) incelenmeden, otomatik bir sadakate aykırılık karinesi oluşturmak (Yalçınkaya, </w:t>
      </w:r>
      <w:proofErr w:type="spellStart"/>
      <w:r w:rsidRPr="00492203">
        <w:rPr>
          <w:rFonts w:ascii="Arial Narrow" w:eastAsia="Times New Roman" w:hAnsi="Arial Narrow" w:cs="Times New Roman"/>
          <w:szCs w:val="24"/>
          <w:lang w:val="tr-TR"/>
        </w:rPr>
        <w:t>mutadis</w:t>
      </w:r>
      <w:proofErr w:type="spellEnd"/>
      <w:r w:rsidRPr="00492203">
        <w:rPr>
          <w:rFonts w:ascii="Arial Narrow" w:eastAsia="Times New Roman" w:hAnsi="Arial Narrow" w:cs="Times New Roman"/>
          <w:szCs w:val="24"/>
          <w:lang w:val="tr-TR"/>
        </w:rPr>
        <w:t xml:space="preserve"> </w:t>
      </w:r>
      <w:proofErr w:type="spellStart"/>
      <w:r w:rsidRPr="00492203">
        <w:rPr>
          <w:rFonts w:ascii="Arial Narrow" w:eastAsia="Times New Roman" w:hAnsi="Arial Narrow" w:cs="Times New Roman"/>
          <w:szCs w:val="24"/>
          <w:lang w:val="tr-TR"/>
        </w:rPr>
        <w:t>mutandis</w:t>
      </w:r>
      <w:proofErr w:type="spellEnd"/>
      <w:r w:rsidRPr="00492203">
        <w:rPr>
          <w:rFonts w:ascii="Arial Narrow" w:eastAsia="Times New Roman" w:hAnsi="Arial Narrow" w:cs="Times New Roman"/>
          <w:szCs w:val="24"/>
          <w:lang w:val="tr-TR"/>
        </w:rPr>
        <w:t>, §§ 255-272) hukuka aykırıdır. Başvurucunun ihracı anında ByLock programında</w:t>
      </w:r>
      <w:r w:rsidR="008F7E5A">
        <w:rPr>
          <w:rFonts w:ascii="Arial Narrow" w:eastAsia="Times New Roman" w:hAnsi="Arial Narrow" w:cs="Times New Roman"/>
          <w:szCs w:val="24"/>
          <w:lang w:val="tr-TR"/>
        </w:rPr>
        <w:t xml:space="preserve"> </w:t>
      </w:r>
      <w:r w:rsidR="008F7E5A" w:rsidRPr="008F7E5A">
        <w:rPr>
          <w:rFonts w:ascii="Arial Narrow" w:eastAsia="Times New Roman" w:hAnsi="Arial Narrow" w:cs="Times New Roman"/>
          <w:szCs w:val="24"/>
          <w:lang w:val="tr-TR"/>
        </w:rPr>
        <w:t xml:space="preserve">ya da ceza yargılamasında ve idari yargı iptal dosyasında elde edilen veya sunulan </w:t>
      </w:r>
      <w:r w:rsidR="008F7E5A" w:rsidRPr="008F7E5A">
        <w:rPr>
          <w:rFonts w:ascii="Arial Narrow" w:eastAsia="Times New Roman" w:hAnsi="Arial Narrow" w:cs="Times New Roman"/>
          <w:szCs w:val="24"/>
          <w:lang w:val="tr-TR"/>
        </w:rPr>
        <w:t>delil</w:t>
      </w:r>
      <w:r w:rsidR="008F7E5A">
        <w:rPr>
          <w:rFonts w:ascii="Arial Narrow" w:eastAsia="Times New Roman" w:hAnsi="Arial Narrow" w:cs="Times New Roman"/>
          <w:szCs w:val="24"/>
          <w:lang w:val="tr-TR"/>
        </w:rPr>
        <w:t>l</w:t>
      </w:r>
      <w:r w:rsidR="008F7E5A" w:rsidRPr="008F7E5A">
        <w:rPr>
          <w:rFonts w:ascii="Arial Narrow" w:eastAsia="Times New Roman" w:hAnsi="Arial Narrow" w:cs="Times New Roman"/>
          <w:szCs w:val="24"/>
          <w:lang w:val="tr-TR"/>
        </w:rPr>
        <w:t>er</w:t>
      </w:r>
      <w:r w:rsidR="008F7E5A" w:rsidRPr="008F7E5A">
        <w:rPr>
          <w:rFonts w:ascii="Arial Narrow" w:eastAsia="Times New Roman" w:hAnsi="Arial Narrow" w:cs="Times New Roman"/>
          <w:szCs w:val="24"/>
          <w:lang w:val="tr-TR"/>
        </w:rPr>
        <w:t xml:space="preserve"> arasında başvurucunun</w:t>
      </w:r>
      <w:r w:rsidRPr="00492203">
        <w:rPr>
          <w:rFonts w:ascii="Arial Narrow" w:eastAsia="Times New Roman" w:hAnsi="Arial Narrow" w:cs="Times New Roman"/>
          <w:szCs w:val="24"/>
          <w:lang w:val="tr-TR"/>
        </w:rPr>
        <w:t xml:space="preserve"> paylaşılan hâkimin bağımsız ve tarafsızlığına ya da</w:t>
      </w:r>
      <w:r w:rsidR="008F7E5A">
        <w:rPr>
          <w:rFonts w:ascii="Arial Narrow" w:eastAsia="Times New Roman" w:hAnsi="Arial Narrow" w:cs="Times New Roman"/>
          <w:szCs w:val="24"/>
          <w:lang w:val="tr-TR"/>
        </w:rPr>
        <w:t xml:space="preserve"> anayasal düzene ve hukuk devletine</w:t>
      </w:r>
      <w:r w:rsidRPr="00492203">
        <w:rPr>
          <w:rFonts w:ascii="Arial Narrow" w:eastAsia="Times New Roman" w:hAnsi="Arial Narrow" w:cs="Times New Roman"/>
          <w:szCs w:val="24"/>
          <w:lang w:val="tr-TR"/>
        </w:rPr>
        <w:t xml:space="preserve"> sadakat yükümlülüğüne aykırılık teşkil eden bir bilgi bulunmadığı gibi sonradan da böyle bir veri dosyaya girmemiştir.</w:t>
      </w:r>
      <w:r w:rsidR="001E6993">
        <w:rPr>
          <w:rFonts w:ascii="Arial Narrow" w:eastAsia="Times New Roman" w:hAnsi="Arial Narrow" w:cs="Times New Roman"/>
          <w:szCs w:val="24"/>
          <w:lang w:val="tr-TR"/>
        </w:rPr>
        <w:t xml:space="preserve"> </w:t>
      </w:r>
      <w:r w:rsidR="001E6993" w:rsidRPr="001E6993">
        <w:rPr>
          <w:rFonts w:ascii="Arial Narrow" w:eastAsia="Times New Roman" w:hAnsi="Arial Narrow" w:cs="Times New Roman"/>
          <w:szCs w:val="24"/>
          <w:lang w:val="tr-TR"/>
        </w:rPr>
        <w:t xml:space="preserve">Buna dair ne idare ne Danıştay en küçük bir delil ve emare ortaya koyamamıştır. </w:t>
      </w:r>
      <w:proofErr w:type="spellStart"/>
      <w:r w:rsidR="001E6993" w:rsidRPr="001E6993">
        <w:rPr>
          <w:rFonts w:ascii="Arial Narrow" w:eastAsia="Times New Roman" w:hAnsi="Arial Narrow" w:cs="Times New Roman"/>
          <w:i/>
          <w:iCs/>
          <w:szCs w:val="24"/>
          <w:lang w:val="tr-TR"/>
        </w:rPr>
        <w:t>Ex</w:t>
      </w:r>
      <w:proofErr w:type="spellEnd"/>
      <w:r w:rsidR="001E6993" w:rsidRPr="001E6993">
        <w:rPr>
          <w:rFonts w:ascii="Arial Narrow" w:eastAsia="Times New Roman" w:hAnsi="Arial Narrow" w:cs="Times New Roman"/>
          <w:i/>
          <w:iCs/>
          <w:szCs w:val="24"/>
          <w:lang w:val="tr-TR"/>
        </w:rPr>
        <w:t xml:space="preserve"> post </w:t>
      </w:r>
      <w:proofErr w:type="spellStart"/>
      <w:r w:rsidR="001E6993" w:rsidRPr="001E6993">
        <w:rPr>
          <w:rFonts w:ascii="Arial Narrow" w:eastAsia="Times New Roman" w:hAnsi="Arial Narrow" w:cs="Times New Roman"/>
          <w:i/>
          <w:iCs/>
          <w:szCs w:val="24"/>
          <w:lang w:val="tr-TR"/>
        </w:rPr>
        <w:t>facto</w:t>
      </w:r>
      <w:proofErr w:type="spellEnd"/>
      <w:r w:rsidR="001E6993" w:rsidRPr="001E6993">
        <w:rPr>
          <w:rFonts w:ascii="Arial Narrow" w:eastAsia="Times New Roman" w:hAnsi="Arial Narrow" w:cs="Times New Roman"/>
          <w:szCs w:val="24"/>
          <w:lang w:val="tr-TR"/>
        </w:rPr>
        <w:t xml:space="preserve"> bu veri ve bilgilerden, aksini kanıtlama </w:t>
      </w:r>
      <w:proofErr w:type="gramStart"/>
      <w:r w:rsidR="001E6993" w:rsidRPr="001E6993">
        <w:rPr>
          <w:rFonts w:ascii="Arial Narrow" w:eastAsia="Times New Roman" w:hAnsi="Arial Narrow" w:cs="Times New Roman"/>
          <w:szCs w:val="24"/>
          <w:lang w:val="tr-TR"/>
        </w:rPr>
        <w:t>imkanı</w:t>
      </w:r>
      <w:proofErr w:type="gramEnd"/>
      <w:r w:rsidR="001E6993" w:rsidRPr="001E6993">
        <w:rPr>
          <w:rFonts w:ascii="Arial Narrow" w:eastAsia="Times New Roman" w:hAnsi="Arial Narrow" w:cs="Times New Roman"/>
          <w:szCs w:val="24"/>
          <w:lang w:val="tr-TR"/>
        </w:rPr>
        <w:t xml:space="preserve"> olmayan, otomatik bir </w:t>
      </w:r>
      <w:r w:rsidR="001E6993" w:rsidRPr="001E6993">
        <w:rPr>
          <w:rFonts w:ascii="Arial Narrow" w:eastAsia="Times New Roman" w:hAnsi="Arial Narrow" w:cs="Times New Roman"/>
          <w:szCs w:val="24"/>
          <w:lang w:val="tr-TR"/>
        </w:rPr>
        <w:t>anayasal</w:t>
      </w:r>
      <w:r w:rsidR="001E6993" w:rsidRPr="001E6993">
        <w:rPr>
          <w:rFonts w:ascii="Arial Narrow" w:eastAsia="Times New Roman" w:hAnsi="Arial Narrow" w:cs="Times New Roman"/>
          <w:szCs w:val="24"/>
          <w:lang w:val="tr-TR"/>
        </w:rPr>
        <w:t xml:space="preserve"> düzene sadakatsizlik karinesi geliştirilmiştir.</w:t>
      </w:r>
    </w:p>
    <w:p w14:paraId="3C04CBDD"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Diğer taraftan, 15 Temmuz sonrası toplu meslekten çıkarmaların asıl amacının, bir sosyal gruba (Cemaate) mensup olduğu düşünülenlerin kamudan tasfiyesi olduğu açıktır. Cumhurbaşkanı, Adalet Bakanı ve </w:t>
      </w:r>
      <w:proofErr w:type="gramStart"/>
      <w:r w:rsidRPr="00492203">
        <w:rPr>
          <w:rFonts w:ascii="Arial Narrow" w:eastAsia="Times New Roman" w:hAnsi="Arial Narrow" w:cs="Times New Roman"/>
          <w:szCs w:val="24"/>
          <w:lang w:val="tr-TR"/>
        </w:rPr>
        <w:t>HS(</w:t>
      </w:r>
      <w:proofErr w:type="gramEnd"/>
      <w:r w:rsidRPr="00492203">
        <w:rPr>
          <w:rFonts w:ascii="Arial Narrow" w:eastAsia="Times New Roman" w:hAnsi="Arial Narrow" w:cs="Times New Roman"/>
          <w:szCs w:val="24"/>
          <w:lang w:val="tr-TR"/>
        </w:rPr>
        <w:t>Y)K başkanvekili gibi en üst düzey yetkililer tarafından bu amacı açıkça belli eden beyanlarda bulunulmuştur. Oysaki herhangi bir sosyal veya dini topluluk içinde yer almak, yalnızca bir kimlik aidiyetinin göstergesidir. Söz konusu topluluk içinde suç işleyen kişilerin bulunduğunun kabul edilmesinin, tüm topluluk mensuplarına kolektif sorumluluk yüklenmesini haklı kılmayacağı açıktır. Böyle bir yaklaşım, kimliğe dayalı tasfiyelere kapı aralayacak ve Sözleşme’nin sağladığı korumaları anlamsız hale getirecektir. Dolayısıyla başvurucunun yalnızca varsayılan bir aidiyete dayalı olarak kamu görevinden çıkarılmasını meşru bir amaç olarak kabul etmek mümkün değildir.</w:t>
      </w:r>
    </w:p>
    <w:p w14:paraId="688562D8" w14:textId="499152C9" w:rsidR="00492203" w:rsidRDefault="00492203" w:rsidP="0071332C">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Başvurucu, tüm mesleki yaşamı boyunca başarılı bir kariyere sahip olmuş, en iyi derecelerle terfi etmiştir. </w:t>
      </w:r>
      <w:r w:rsidR="00D87053">
        <w:rPr>
          <w:rFonts w:ascii="Arial Narrow" w:eastAsia="Times New Roman" w:hAnsi="Arial Narrow" w:cs="Times New Roman"/>
          <w:szCs w:val="24"/>
          <w:lang w:val="tr-TR" w:eastAsia="tr-TR"/>
        </w:rPr>
        <w:t>Ne ö</w:t>
      </w:r>
      <w:r w:rsidRPr="00492203">
        <w:rPr>
          <w:rFonts w:ascii="Arial Narrow" w:eastAsia="Times New Roman" w:hAnsi="Arial Narrow" w:cs="Times New Roman"/>
          <w:szCs w:val="24"/>
          <w:lang w:val="tr-TR" w:eastAsia="tr-TR"/>
        </w:rPr>
        <w:t>zel ve mesleki yaşamında, yargının bağımsızlığı ve tarafsızlığını ihlal edecek şekilde hareket ettiğine dair ne dışa yansıyan bir eylem</w:t>
      </w:r>
      <w:r w:rsidR="00D87053">
        <w:rPr>
          <w:rFonts w:ascii="Arial Narrow" w:eastAsia="Times New Roman" w:hAnsi="Arial Narrow" w:cs="Times New Roman"/>
          <w:szCs w:val="24"/>
          <w:lang w:val="tr-TR" w:eastAsia="tr-TR"/>
        </w:rPr>
        <w:t xml:space="preserve"> ne de </w:t>
      </w:r>
      <w:r w:rsidRPr="00492203">
        <w:rPr>
          <w:rFonts w:ascii="Arial Narrow" w:eastAsia="Times New Roman" w:hAnsi="Arial Narrow" w:cs="Times New Roman"/>
          <w:szCs w:val="24"/>
          <w:lang w:val="tr-TR" w:eastAsia="tr-TR"/>
        </w:rPr>
        <w:t xml:space="preserve">söylemi olmuştur. Hakkında herhangi bir disiplin ya da ceza soruşturması yürütülmemiştir. Buna rağmen,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Genel Kurulunun sübjektif ve teyit edilmemiş, aksini ispat imkânı verilmeyen bilgilere dayalı olarak yargının bağımsızlığını ve tarafsızlığını sağlamak gerekçesiyle meslekten çıkarılmıştır. Bu amaçla, kişisel veri niteliğindeki bilgileri, sistematik biçimde toplanmış ve meslekten çıkarılma kararı, masumiyet karinesine aykırı biçimde, Resmî Gazetede yayınlanmıştır. Bu suretle maddi/manevi bütünlüğüne, şerefine ve itibarına zarar verilmesinin objektif olarak meşru bir temeli bulunmamaktadır. Hükümetin kendisiyle uyumlu bir yargı inşa etme ve ihraçlarla yargıyı baskı altına alma amacına yöneliktir.</w:t>
      </w:r>
    </w:p>
    <w:p w14:paraId="121AB726" w14:textId="27D6F82A" w:rsidR="003B7FCC" w:rsidRPr="0071332C" w:rsidRDefault="00D32016" w:rsidP="0071332C">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8F35C6">
        <w:rPr>
          <w:rFonts w:ascii="Arial Narrow" w:eastAsia="Times New Roman" w:hAnsi="Arial Narrow" w:cs="Arial"/>
          <w:szCs w:val="24"/>
          <w:lang w:val="tr-TR"/>
        </w:rPr>
        <w:t>Başvurucunun ByLock kullanıcısı olması iddiası</w:t>
      </w:r>
      <w:r>
        <w:rPr>
          <w:rFonts w:ascii="Arial Narrow" w:eastAsia="Times New Roman" w:hAnsi="Arial Narrow" w:cs="Arial"/>
          <w:szCs w:val="24"/>
          <w:lang w:val="tr-TR"/>
        </w:rPr>
        <w:t xml:space="preserve"> teknik olarak doğrulanmış olsaydı dahi</w:t>
      </w:r>
      <w:r w:rsidRPr="008F35C6">
        <w:rPr>
          <w:rFonts w:ascii="Arial Narrow" w:eastAsia="Times New Roman" w:hAnsi="Arial Narrow" w:cs="Arial"/>
          <w:szCs w:val="24"/>
          <w:lang w:val="tr-TR"/>
        </w:rPr>
        <w:t xml:space="preserve"> </w:t>
      </w:r>
      <w:r>
        <w:rPr>
          <w:rFonts w:ascii="Arial Narrow" w:eastAsia="Times New Roman" w:hAnsi="Arial Narrow" w:cs="Arial"/>
          <w:szCs w:val="24"/>
          <w:lang w:val="tr-TR"/>
        </w:rPr>
        <w:t xml:space="preserve">anayasal düzene </w:t>
      </w:r>
      <w:r w:rsidRPr="008F35C6">
        <w:rPr>
          <w:rFonts w:ascii="Arial Narrow" w:eastAsia="Times New Roman" w:hAnsi="Arial Narrow" w:cs="Arial"/>
          <w:szCs w:val="24"/>
          <w:lang w:val="tr-TR"/>
        </w:rPr>
        <w:t>sadakat yükümlülüğüne aykırılık teşkil etme</w:t>
      </w:r>
      <w:r>
        <w:rPr>
          <w:rFonts w:ascii="Arial Narrow" w:eastAsia="Times New Roman" w:hAnsi="Arial Narrow" w:cs="Arial"/>
          <w:szCs w:val="24"/>
          <w:lang w:val="tr-TR"/>
        </w:rPr>
        <w:t>z</w:t>
      </w:r>
      <w:r w:rsidRPr="008F35C6">
        <w:rPr>
          <w:rFonts w:ascii="Arial Narrow" w:eastAsia="Times New Roman" w:hAnsi="Arial Narrow" w:cs="Arial"/>
          <w:szCs w:val="24"/>
          <w:lang w:val="tr-TR"/>
        </w:rPr>
        <w:t xml:space="preserve">. Hükümete göre bu program sadece cemaat üyeleri tarafından kullanılmaktadır. Bu noktada AİHM, ByLock programının cemaatle bir tür ilişkiyi gösterebileceğini kabul etmiştir. Ancak bu ilişkinin ihraç gerekçesi </w:t>
      </w:r>
      <w:r w:rsidRPr="008F35C6">
        <w:rPr>
          <w:rFonts w:ascii="Arial Narrow" w:eastAsia="Times New Roman" w:hAnsi="Arial Narrow" w:cs="Arial"/>
          <w:szCs w:val="24"/>
          <w:lang w:val="tr-TR"/>
        </w:rPr>
        <w:lastRenderedPageBreak/>
        <w:t xml:space="preserve">olup olmayacağı, ne surette sakıncalı kabul edilebileceği tartışılmalıdır. Çok sayıda dava dosyasında mevcut yazışmalarına göre, ByLock üzerinden normal gündelik yazışmalar ve dini paylaşımlar yapılmıştır. Bu yazışmaların ve bu programı kullanmanın bu itibarla ihraç gerekçesi olması mümkün değildir. Mesaj içerikleri ve bağlamları (Akgün, §173) incelenmeden, otomatik bir sadakate aykırılık karinesi oluşturmak (Yalçınkaya, </w:t>
      </w:r>
      <w:proofErr w:type="spellStart"/>
      <w:r w:rsidRPr="00E57735">
        <w:rPr>
          <w:rFonts w:ascii="Arial Narrow" w:eastAsia="Times New Roman" w:hAnsi="Arial Narrow" w:cs="Arial"/>
          <w:i/>
          <w:iCs/>
          <w:szCs w:val="24"/>
          <w:lang w:val="tr-TR"/>
        </w:rPr>
        <w:t>mutadis</w:t>
      </w:r>
      <w:proofErr w:type="spellEnd"/>
      <w:r w:rsidRPr="00E57735">
        <w:rPr>
          <w:rFonts w:ascii="Arial Narrow" w:eastAsia="Times New Roman" w:hAnsi="Arial Narrow" w:cs="Arial"/>
          <w:i/>
          <w:iCs/>
          <w:szCs w:val="24"/>
          <w:lang w:val="tr-TR"/>
        </w:rPr>
        <w:t xml:space="preserve"> </w:t>
      </w:r>
      <w:proofErr w:type="spellStart"/>
      <w:r w:rsidRPr="00E57735">
        <w:rPr>
          <w:rFonts w:ascii="Arial Narrow" w:eastAsia="Times New Roman" w:hAnsi="Arial Narrow" w:cs="Arial"/>
          <w:i/>
          <w:iCs/>
          <w:szCs w:val="24"/>
          <w:lang w:val="tr-TR"/>
        </w:rPr>
        <w:t>mutandis</w:t>
      </w:r>
      <w:proofErr w:type="spellEnd"/>
      <w:r w:rsidRPr="00E57735">
        <w:rPr>
          <w:rFonts w:ascii="Arial Narrow" w:eastAsia="Times New Roman" w:hAnsi="Arial Narrow" w:cs="Arial"/>
          <w:i/>
          <w:iCs/>
          <w:szCs w:val="24"/>
          <w:lang w:val="tr-TR"/>
        </w:rPr>
        <w:t>,</w:t>
      </w:r>
      <w:r w:rsidRPr="008F35C6">
        <w:rPr>
          <w:rFonts w:ascii="Arial Narrow" w:eastAsia="Times New Roman" w:hAnsi="Arial Narrow" w:cs="Arial"/>
          <w:szCs w:val="24"/>
          <w:lang w:val="tr-TR"/>
        </w:rPr>
        <w:t xml:space="preserve"> §§ 255-272) varmak hukuka aykırıdır. Başvurucunun ihracı anında ByLock programında paylaşılan hâkimin bağımsız ve tarafsızlığına ya da sadakat yükümlülüğüne aykırılık teşkil eden bir bilgi bulunmadığı gibi sonradan da böyle bir veri dosyaya girmemiştir.</w:t>
      </w:r>
    </w:p>
    <w:p w14:paraId="602DDEF8"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rPr>
        <w:t xml:space="preserve">Başvurucunun özel yaşamına yönelik bu müdahaleler, </w:t>
      </w:r>
      <w:proofErr w:type="spellStart"/>
      <w:r w:rsidRPr="00492203">
        <w:rPr>
          <w:rFonts w:ascii="Arial Narrow" w:eastAsia="Times New Roman" w:hAnsi="Arial Narrow" w:cs="Times New Roman"/>
          <w:szCs w:val="24"/>
          <w:lang w:val="tr-TR"/>
        </w:rPr>
        <w:t>AİHS’in</w:t>
      </w:r>
      <w:proofErr w:type="spellEnd"/>
      <w:r w:rsidRPr="00492203">
        <w:rPr>
          <w:rFonts w:ascii="Arial Narrow" w:eastAsia="Times New Roman" w:hAnsi="Arial Narrow" w:cs="Times New Roman"/>
          <w:szCs w:val="24"/>
          <w:lang w:val="tr-TR"/>
        </w:rPr>
        <w:t xml:space="preserve"> 8/2. maddesinde yer alan kanunla öngörülmesi şartı ile </w:t>
      </w:r>
      <w:r w:rsidRPr="00492203">
        <w:rPr>
          <w:rFonts w:ascii="Arial Narrow" w:eastAsia="Times New Roman" w:hAnsi="Arial Narrow" w:cs="Times New Roman"/>
          <w:b/>
          <w:bCs/>
          <w:szCs w:val="24"/>
          <w:lang w:val="tr-TR"/>
        </w:rPr>
        <w:t>meşru amaçlardan birini taşımamanın yanı sıra demokratik bir toplumda gerekli olma koşulunu da karşılamamaktadır</w:t>
      </w:r>
      <w:r w:rsidRPr="00492203">
        <w:rPr>
          <w:rFonts w:ascii="Arial Narrow" w:eastAsia="Times New Roman" w:hAnsi="Arial Narrow" w:cs="Times New Roman"/>
          <w:szCs w:val="24"/>
          <w:lang w:val="tr-TR"/>
        </w:rPr>
        <w:t>. Hükümet darbe girişimini cemaatin gerçekleştirdiğini iddia etmekte ve cemaatle irtibatlı olduğunu düşündüğü tüm kamu görevlilerinin ömür boyu kamu hizmetinden yasaklanmasını uygun bulmaktadır. Oysaki cemaatle bağlantılı olan ya da öyle olduğu iddia edilen sivil memur ve yargı mensuplarından darbeye karıştığı tespit edilen kimse olmamıştır. Askeri personel içinde de dahi darbeye fiilen katılanlarla ihraç edilen personel sayısı arasında aşırı bir orantısızlık söz konusudur. Darbe girişimini aydınlatması beklenen TBMM Darbe Komisyonu uzun süre çalışmış fakat nedeni açıklanmadan söz konusu komisyon raporu açıklanmamıştır. Dolaysıyla, darbe girişimi ve ihraç edilen yüzbinlerce kamu görevlisi arasında hiçbir bağ söz konusu değildir. Hükümetin ihraç politikasının demokratik toplumda gerekli görülebilecek meşru bir zemini yoktur.</w:t>
      </w:r>
    </w:p>
    <w:p w14:paraId="5ACFBC84"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Arial"/>
          <w:szCs w:val="24"/>
          <w:lang w:val="tr-TR"/>
        </w:rPr>
      </w:pPr>
      <w:r w:rsidRPr="00492203">
        <w:rPr>
          <w:rFonts w:ascii="Arial Narrow" w:eastAsia="Times New Roman" w:hAnsi="Arial Narrow" w:cs="Arial"/>
          <w:szCs w:val="24"/>
          <w:lang w:val="tr-TR" w:eastAsia="tr-TR"/>
        </w:rPr>
        <w:t>AİHM içtihadına göre, bir müdahale “gerekli” sayılabilmesi için toplumsal ihtiyaç baskısına karşılık gelmeli ve izlenen amaçla orantılı olmalıdır (</w:t>
      </w:r>
      <w:proofErr w:type="spellStart"/>
      <w:r w:rsidRPr="00492203">
        <w:rPr>
          <w:rFonts w:ascii="Arial Narrow" w:eastAsia="Times New Roman" w:hAnsi="Arial Narrow" w:cs="Arial"/>
          <w:szCs w:val="24"/>
          <w:lang w:val="tr-TR" w:eastAsia="tr-TR"/>
        </w:rPr>
        <w:t>Nada</w:t>
      </w:r>
      <w:proofErr w:type="spellEnd"/>
      <w:r w:rsidRPr="00492203">
        <w:rPr>
          <w:rFonts w:ascii="Arial Narrow" w:eastAsia="Times New Roman" w:hAnsi="Arial Narrow" w:cs="Arial"/>
          <w:szCs w:val="24"/>
          <w:lang w:val="tr-TR" w:eastAsia="tr-TR"/>
        </w:rPr>
        <w:t>/İsviçre). Ayrıca Mahkeme, daha az zararlı ama aynı amaca ulaşabilecek bir tedbir mümkünse ağır müdahaleyi kabul etmemektedir (</w:t>
      </w:r>
      <w:proofErr w:type="spellStart"/>
      <w:r w:rsidRPr="00492203">
        <w:rPr>
          <w:rFonts w:ascii="Arial Narrow" w:eastAsia="Times New Roman" w:hAnsi="Arial Narrow" w:cs="Arial"/>
          <w:szCs w:val="24"/>
          <w:lang w:val="tr-TR" w:eastAsia="tr-TR"/>
        </w:rPr>
        <w:t>Nada</w:t>
      </w:r>
      <w:proofErr w:type="spellEnd"/>
      <w:r w:rsidRPr="00492203">
        <w:rPr>
          <w:rFonts w:ascii="Arial Narrow" w:eastAsia="Times New Roman" w:hAnsi="Arial Narrow" w:cs="Arial"/>
          <w:szCs w:val="24"/>
          <w:lang w:val="tr-TR" w:eastAsia="tr-TR"/>
        </w:rPr>
        <w:t xml:space="preserve">/İsviçre). AİHS m.8/2 uyarınca, sadece maddi gerekçeler değil, usule ilişkin güvenceler de aranır. Karar alma süreci, başvurucunun haklarına saygı gösterecek nitelikte olmalı; savunma imkânı tanınmalı ve delillere erişim sağlanmalıdır (Buckley/Birleşik Krallık; </w:t>
      </w:r>
      <w:proofErr w:type="spellStart"/>
      <w:r w:rsidRPr="00492203">
        <w:rPr>
          <w:rFonts w:ascii="Arial Narrow" w:eastAsia="Times New Roman" w:hAnsi="Arial Narrow" w:cs="Arial"/>
          <w:szCs w:val="24"/>
          <w:lang w:val="tr-TR" w:eastAsia="tr-TR"/>
        </w:rPr>
        <w:t>Turek</w:t>
      </w:r>
      <w:proofErr w:type="spellEnd"/>
      <w:r w:rsidRPr="00492203">
        <w:rPr>
          <w:rFonts w:ascii="Arial Narrow" w:eastAsia="Times New Roman" w:hAnsi="Arial Narrow" w:cs="Arial"/>
          <w:szCs w:val="24"/>
          <w:lang w:val="tr-TR" w:eastAsia="tr-TR"/>
        </w:rPr>
        <w:t>/Slovakya). AİHM, orantılılık açısından inceleme yaparken birey ile toplumun yarışan menfaatleri arasında adil dengenin kurulmuş olup olmadığına bakmaktadır. Bir müdahalenin orantılı olduğunun kabulü için, söz konusu temel hakka daha az zarar verebilecek ama aynı amaca ulaşılabilecek başka bir müdahaleye başvurma ihtimalinin olmaması gerekir (</w:t>
      </w:r>
      <w:proofErr w:type="spellStart"/>
      <w:r w:rsidRPr="00492203">
        <w:rPr>
          <w:rFonts w:ascii="Arial Narrow" w:eastAsia="Times New Roman" w:hAnsi="Arial Narrow" w:cs="Arial"/>
          <w:szCs w:val="24"/>
          <w:lang w:val="tr-TR" w:eastAsia="tr-TR"/>
        </w:rPr>
        <w:t>Nada</w:t>
      </w:r>
      <w:proofErr w:type="spellEnd"/>
      <w:r w:rsidRPr="00492203">
        <w:rPr>
          <w:rFonts w:ascii="Arial Narrow" w:eastAsia="Times New Roman" w:hAnsi="Arial Narrow" w:cs="Arial"/>
          <w:szCs w:val="24"/>
          <w:lang w:val="tr-TR" w:eastAsia="tr-TR"/>
        </w:rPr>
        <w:t xml:space="preserve">/İsviçre kararı). Sözleşmenin 8/2. maddesindeki “gereklilik” şartının incelenmesinde mahkeme, sadece maddi yönden inceleme ile sınırlı kalmamakta usul şartlarını da değerlendirmektedir. Buna göre, karar alma </w:t>
      </w:r>
      <w:r w:rsidRPr="00492203">
        <w:rPr>
          <w:rFonts w:ascii="Arial Narrow" w:eastAsia="Times New Roman" w:hAnsi="Arial Narrow" w:cs="Arial"/>
          <w:szCs w:val="24"/>
          <w:lang w:val="tr-TR" w:eastAsia="tr-TR"/>
        </w:rPr>
        <w:lastRenderedPageBreak/>
        <w:t xml:space="preserve">[müdahale] sürecinin bu maddeyle (8. Madde) korunan menfaatlere gerekli saygıyı sağlayacak nitelikte ve </w:t>
      </w:r>
      <w:proofErr w:type="spellStart"/>
      <w:r w:rsidRPr="00492203">
        <w:rPr>
          <w:rFonts w:ascii="Arial Narrow" w:eastAsia="Times New Roman" w:hAnsi="Arial Narrow" w:cs="Arial"/>
          <w:szCs w:val="24"/>
          <w:lang w:val="tr-TR" w:eastAsia="tr-TR"/>
        </w:rPr>
        <w:t>usulî</w:t>
      </w:r>
      <w:proofErr w:type="spellEnd"/>
      <w:r w:rsidRPr="00492203">
        <w:rPr>
          <w:rFonts w:ascii="Arial Narrow" w:eastAsia="Times New Roman" w:hAnsi="Arial Narrow" w:cs="Arial"/>
          <w:szCs w:val="24"/>
          <w:lang w:val="tr-TR" w:eastAsia="tr-TR"/>
        </w:rPr>
        <w:t xml:space="preserve"> güvenceleri içermesi gerekmektedir. Bu süreç, ilgilinin 8. maddedeki haklarını, deliller ve kanıtlama konuları dahil, adil şartlarda savunabileceği etkili bir usul mevzuatının varlığını da gerektirir (Buckley/Birleşik Krallık; </w:t>
      </w:r>
      <w:proofErr w:type="spellStart"/>
      <w:r w:rsidRPr="00492203">
        <w:rPr>
          <w:rFonts w:ascii="Arial Narrow" w:eastAsia="Times New Roman" w:hAnsi="Arial Narrow" w:cs="Arial"/>
          <w:szCs w:val="24"/>
          <w:lang w:val="tr-TR" w:eastAsia="tr-TR"/>
        </w:rPr>
        <w:t>Turek</w:t>
      </w:r>
      <w:proofErr w:type="spellEnd"/>
      <w:r w:rsidRPr="00492203">
        <w:rPr>
          <w:rFonts w:ascii="Arial Narrow" w:eastAsia="Times New Roman" w:hAnsi="Arial Narrow" w:cs="Arial"/>
          <w:szCs w:val="24"/>
          <w:lang w:val="tr-TR" w:eastAsia="tr-TR"/>
        </w:rPr>
        <w:t>/Slovakya kararı).</w:t>
      </w:r>
    </w:p>
    <w:p w14:paraId="6E7FE76C"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Genel Kurulu, meslekten çıkarılmanın gerekçesini yargının bağımsızlığı ve tarafsızlığının sağlanması olarak açıklamıştır. Başvurucunun gerek özel gerekse mesleki yaşamındaki çalışma, davranış ve ilişkileri sebebiyle yargının bağımsızlığı ve tarafsızlığını ihlal ettiğine dair en küçük bir şikayet veya disiplin soruşturması olmaksızın, hakimlik/savcılık teminatına aykırı biçimde, savunma ve delillerini sunma hakkı verilmeksizin, bir daha hiçbir kamu hizmetinde görev yapamayacak şekilde, hakkında ne şekilde ve kimler tarafından doldurulan sosyal çevre bilgisi gibi doğruluğu teyit edilmemiş bilgilerle meslekten çıkarılması ve bu kararın damgalayıcı biçimde Resmi Gazetede yayınlanmasını gerektiren “toplumsal bir ihtiyaç baskısı” yoktur. Dolayısıyla HS(Y)</w:t>
      </w:r>
      <w:proofErr w:type="spellStart"/>
      <w:r w:rsidRPr="00492203">
        <w:rPr>
          <w:rFonts w:ascii="Arial Narrow" w:eastAsia="Times New Roman" w:hAnsi="Arial Narrow" w:cs="Times New Roman"/>
          <w:szCs w:val="24"/>
          <w:lang w:val="tr-TR" w:eastAsia="tr-TR"/>
        </w:rPr>
        <w:t>K’nın</w:t>
      </w:r>
      <w:proofErr w:type="spellEnd"/>
      <w:r w:rsidRPr="00492203">
        <w:rPr>
          <w:rFonts w:ascii="Arial Narrow" w:eastAsia="Times New Roman" w:hAnsi="Arial Narrow" w:cs="Times New Roman"/>
          <w:szCs w:val="24"/>
          <w:lang w:val="tr-TR" w:eastAsia="tr-TR"/>
        </w:rPr>
        <w:t xml:space="preserve"> meşru amaç olarak ileri sürdüğü yargının bağımsızlığı ve tarafsızlığının sağlanması amacıyla bu müdahalelerin “orantılılık” açısından da savunulabilir bir yönü bulunmamaktadır.</w:t>
      </w:r>
    </w:p>
    <w:p w14:paraId="3BDE0169"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HS(Y)</w:t>
      </w:r>
      <w:proofErr w:type="spellStart"/>
      <w:r w:rsidRPr="00492203">
        <w:rPr>
          <w:rFonts w:ascii="Arial Narrow" w:eastAsia="Times New Roman" w:hAnsi="Arial Narrow" w:cs="Times New Roman"/>
          <w:szCs w:val="24"/>
          <w:lang w:val="tr-TR" w:eastAsia="tr-TR"/>
        </w:rPr>
        <w:t>K’nın</w:t>
      </w:r>
      <w:proofErr w:type="spellEnd"/>
      <w:r w:rsidRPr="00492203">
        <w:rPr>
          <w:rFonts w:ascii="Arial Narrow" w:eastAsia="Times New Roman" w:hAnsi="Arial Narrow" w:cs="Times New Roman"/>
          <w:szCs w:val="24"/>
          <w:lang w:val="tr-TR" w:eastAsia="tr-TR"/>
        </w:rPr>
        <w:t xml:space="preserve"> meslekten çıkarma kararı, büyük ölçüde sübjektif ve belirsiz genellemeler ile yer yer makullükten uzak abartılar içeren, başvurucu ve listedeki şahısların büyük çoğunluğu hakkında en küçük bir kişiselleştirme içermeyen bir karardır. Söz konusu kararın hiçbir yerinde ismi geçmemekle beraber kararda anlatılan </w:t>
      </w:r>
      <w:proofErr w:type="spellStart"/>
      <w:r w:rsidRPr="00492203">
        <w:rPr>
          <w:rFonts w:ascii="Arial Narrow" w:eastAsia="Times New Roman" w:hAnsi="Arial Narrow" w:cs="Times New Roman"/>
          <w:szCs w:val="24"/>
          <w:lang w:val="tr-TR" w:eastAsia="tr-TR"/>
        </w:rPr>
        <w:t>anekdotsal</w:t>
      </w:r>
      <w:proofErr w:type="spellEnd"/>
      <w:r w:rsidRPr="00492203">
        <w:rPr>
          <w:rFonts w:ascii="Arial Narrow" w:eastAsia="Times New Roman" w:hAnsi="Arial Narrow" w:cs="Times New Roman"/>
          <w:szCs w:val="24"/>
          <w:lang w:val="tr-TR" w:eastAsia="tr-TR"/>
        </w:rPr>
        <w:t xml:space="preserve"> hiçbir dosya ile başvurucunun bir ilgisi bulunmamaktadır. Nitekim bu haliyle kararın uluslararası standartlara uygun olmadığı pek çok uluslararası örgüt tarafından da ağır eleştirilerle deklare edilmiştir. Bu nedenlerle, HS(Y)</w:t>
      </w:r>
      <w:proofErr w:type="spellStart"/>
      <w:r w:rsidRPr="00492203">
        <w:rPr>
          <w:rFonts w:ascii="Arial Narrow" w:eastAsia="Times New Roman" w:hAnsi="Arial Narrow" w:cs="Times New Roman"/>
          <w:szCs w:val="24"/>
          <w:lang w:val="tr-TR" w:eastAsia="tr-TR"/>
        </w:rPr>
        <w:t>K’nın</w:t>
      </w:r>
      <w:proofErr w:type="spellEnd"/>
      <w:r w:rsidRPr="00492203">
        <w:rPr>
          <w:rFonts w:ascii="Arial Narrow" w:eastAsia="Times New Roman" w:hAnsi="Arial Narrow" w:cs="Times New Roman"/>
          <w:szCs w:val="24"/>
          <w:lang w:val="tr-TR" w:eastAsia="tr-TR"/>
        </w:rPr>
        <w:t xml:space="preserve"> “ilgili ve yeterli gerekçeler” içermeyen söz konusu kararından, meslekten çıkarılmanın demokratik toplumda hangi sebeple gerekli olduğuna dair sonuca varmak da mümkün değildir. 15 Temmuz darbe girişiminden sonra ilan edilen OHAL kapsamında çıkarılan KHK’lar ile henüz Yargıtay tarafından terörist olduğuna dair kabul edilmiş nihai bir karar bulunmamakla beraber hükümet ve MGK tarafından terör örgütü (“FETÖ/PDY”) olarak nitelendirilen yapının tüm kamu kurumlarındaki varlığının sonlandırılması amaçlanmış ve bu yönde adımlar atılmıştır. Bu çerçevede,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tarafından, başvurucu hakkında geçerli makul bir delil olmamasına rağmen ve bu suçlamayı reddettiği halde, üyelik ve iltisak ya da irtibatın nasıl hangi ölçülere göre değerlendirileceğine dair belirlenmiş kriterler olmaksızın, anayasal ve yasal </w:t>
      </w:r>
      <w:proofErr w:type="spellStart"/>
      <w:r w:rsidRPr="00492203">
        <w:rPr>
          <w:rFonts w:ascii="Arial Narrow" w:eastAsia="Times New Roman" w:hAnsi="Arial Narrow" w:cs="Times New Roman"/>
          <w:szCs w:val="24"/>
          <w:lang w:val="tr-TR" w:eastAsia="tr-TR"/>
        </w:rPr>
        <w:t>usulî</w:t>
      </w:r>
      <w:proofErr w:type="spellEnd"/>
      <w:r w:rsidRPr="00492203">
        <w:rPr>
          <w:rFonts w:ascii="Arial Narrow" w:eastAsia="Times New Roman" w:hAnsi="Arial Narrow" w:cs="Times New Roman"/>
          <w:szCs w:val="24"/>
          <w:lang w:val="tr-TR" w:eastAsia="tr-TR"/>
        </w:rPr>
        <w:t xml:space="preserve"> güvenceler bir yana bırakılarak, söylenti üzerinden ya da çevresindeki sosyal ilişkilerinden kaynaklanan sözde genel izlenimlere dayalı olarak şeffaflıktan uzak biçimde meslekten çıkarılmıştır.</w:t>
      </w:r>
    </w:p>
    <w:p w14:paraId="4EE8F7A1" w14:textId="59D7ED44"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lastRenderedPageBreak/>
        <w:t>Bu kararı meşru kılan delil yokluğu bir yana, esasen HS(Y)</w:t>
      </w:r>
      <w:proofErr w:type="spellStart"/>
      <w:r w:rsidRPr="00492203">
        <w:rPr>
          <w:rFonts w:ascii="Arial Narrow" w:eastAsia="Times New Roman" w:hAnsi="Arial Narrow" w:cs="Times New Roman"/>
          <w:szCs w:val="24"/>
          <w:lang w:val="tr-TR" w:eastAsia="tr-TR"/>
        </w:rPr>
        <w:t>K’nın</w:t>
      </w:r>
      <w:proofErr w:type="spellEnd"/>
      <w:r w:rsidRPr="00492203">
        <w:rPr>
          <w:rFonts w:ascii="Arial Narrow" w:eastAsia="Times New Roman" w:hAnsi="Arial Narrow" w:cs="Times New Roman"/>
          <w:szCs w:val="24"/>
          <w:lang w:val="tr-TR" w:eastAsia="tr-TR"/>
        </w:rPr>
        <w:t xml:space="preserve"> aynı sonuca ulaşmasını sağlayacak ve özel yaşamına daha az zarar verecek yöntemler izlemesi de mümkündü.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2. Dairesi, örneğin henüz darbe girişiminin devam ettiği 16 Temmuz tarihinde, 2745 kişiyi 1-2 saat içerisinde, gerekçe sunmaya ve bireysel değerlendirme yapmaya dahi ihtiyaç duymaksızın görevden uzaklaştırmıştır. Görevden uzaklaştırıldığı döneminde, 2802 sayılı Kanun hükümlerine uygun olarak savunması alınarak kanunda öngörülen diğer </w:t>
      </w:r>
      <w:proofErr w:type="spellStart"/>
      <w:r w:rsidRPr="00492203">
        <w:rPr>
          <w:rFonts w:ascii="Arial Narrow" w:eastAsia="Times New Roman" w:hAnsi="Arial Narrow" w:cs="Times New Roman"/>
          <w:szCs w:val="24"/>
          <w:lang w:val="tr-TR" w:eastAsia="tr-TR"/>
        </w:rPr>
        <w:t>usulî</w:t>
      </w:r>
      <w:proofErr w:type="spellEnd"/>
      <w:r w:rsidRPr="00492203">
        <w:rPr>
          <w:rFonts w:ascii="Arial Narrow" w:eastAsia="Times New Roman" w:hAnsi="Arial Narrow" w:cs="Times New Roman"/>
          <w:szCs w:val="24"/>
          <w:lang w:val="tr-TR" w:eastAsia="tr-TR"/>
        </w:rPr>
        <w:t xml:space="preserve"> güvenceler de sağlanarak eğer görevi ile bağdaşmayacak suç teşkil eden ilişki ya da faaliyette bulunduğuna dair tespitte bulunulursa meslekten ihracına kararı verilebilirdi.</w:t>
      </w:r>
      <w:r w:rsidR="007D4D2D">
        <w:rPr>
          <w:rFonts w:ascii="Arial Narrow" w:eastAsia="Times New Roman" w:hAnsi="Arial Narrow" w:cs="Times New Roman"/>
          <w:szCs w:val="24"/>
          <w:lang w:val="tr-TR" w:eastAsia="tr-TR"/>
        </w:rPr>
        <w:t xml:space="preserve"> Başvurucunun</w:t>
      </w:r>
      <w:r w:rsidRPr="00492203">
        <w:rPr>
          <w:rFonts w:ascii="Arial Narrow" w:eastAsia="Times New Roman" w:hAnsi="Arial Narrow" w:cs="Times New Roman"/>
          <w:szCs w:val="24"/>
          <w:lang w:val="tr-TR" w:eastAsia="tr-TR"/>
        </w:rPr>
        <w:t xml:space="preserve"> bu süreci geciktirecek ya da engelleyecek hiçbir </w:t>
      </w:r>
      <w:r w:rsidR="007D4D2D">
        <w:rPr>
          <w:rFonts w:ascii="Arial Narrow" w:eastAsia="Times New Roman" w:hAnsi="Arial Narrow" w:cs="Times New Roman"/>
          <w:szCs w:val="24"/>
          <w:lang w:val="tr-TR" w:eastAsia="tr-TR"/>
        </w:rPr>
        <w:t xml:space="preserve">imkânı </w:t>
      </w:r>
      <w:r w:rsidRPr="00492203">
        <w:rPr>
          <w:rFonts w:ascii="Arial Narrow" w:eastAsia="Times New Roman" w:hAnsi="Arial Narrow" w:cs="Times New Roman"/>
          <w:szCs w:val="24"/>
          <w:lang w:val="tr-TR" w:eastAsia="tr-TR"/>
        </w:rPr>
        <w:t xml:space="preserve">söz konusu değildi. Nitekim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Başkanvekili Mehmet Yılmaz da ulusal basına yansıyan 23 Eylül 2016 tarihli beyanında devam eden soruşturma ve yargılamalarda mahkûm olmasalar bile hâkim/savcılardan iltisaklı görülenleri disiplin soruşturması yaparak ihraç edebileceklerini belirtmiştir.</w:t>
      </w:r>
    </w:p>
    <w:p w14:paraId="5A70B733" w14:textId="25E30984"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Öte yandan </w:t>
      </w:r>
      <w:r w:rsidRPr="00492203">
        <w:rPr>
          <w:rFonts w:ascii="Arial Narrow" w:eastAsia="Times New Roman" w:hAnsi="Arial Narrow" w:cs="Times New Roman"/>
          <w:b/>
          <w:bCs/>
          <w:szCs w:val="24"/>
          <w:lang w:val="tr-TR" w:eastAsia="tr-TR"/>
        </w:rPr>
        <w:t>müdahale, sonuçları itibarıyla da ölçüsüzdür ve aşırıdır</w:t>
      </w:r>
      <w:r w:rsidRPr="00492203">
        <w:rPr>
          <w:rFonts w:ascii="Arial Narrow" w:eastAsia="Times New Roman" w:hAnsi="Arial Narrow" w:cs="Times New Roman"/>
          <w:szCs w:val="24"/>
          <w:lang w:val="tr-TR" w:eastAsia="tr-TR"/>
        </w:rPr>
        <w:t xml:space="preserve">. Başvurucu yalnızca mesleğinden çıkarılmamış, aynı zamanda ömür boyu tüm kamu görevlerinden yasaklanmıştır. Bu yasak nedeniyle hukuk fakültesi mezunu olmasına rağmen avukatlık, noterlik, bilirkişilik veya arabuluculuk gibi hiçbir alanda </w:t>
      </w:r>
      <w:r w:rsidR="001777BB">
        <w:rPr>
          <w:rFonts w:ascii="Arial Narrow" w:eastAsia="Times New Roman" w:hAnsi="Arial Narrow" w:cs="Times New Roman"/>
          <w:szCs w:val="24"/>
          <w:lang w:val="tr-TR" w:eastAsia="tr-TR"/>
        </w:rPr>
        <w:t>görev alamamıştır</w:t>
      </w:r>
      <w:r w:rsidRPr="00492203">
        <w:rPr>
          <w:rFonts w:ascii="Arial Narrow" w:eastAsia="Times New Roman" w:hAnsi="Arial Narrow" w:cs="Times New Roman"/>
          <w:szCs w:val="24"/>
          <w:lang w:val="tr-TR" w:eastAsia="tr-TR"/>
        </w:rPr>
        <w:t>. Sosyal Güvenlik Kurumu kayıtlarındaki şerh nedeniyle kamudan ihraç edilenlerin özel sektörde iş bulması, fiilen neredeyse imkânsız hâle getirilmiştir. Ayrıca, kamu görevine girme hakkının ötesine geçen ve sürekli genişleyen düzenlemeler, öğrenci yurdu kuruculuğundan özel güvenlik sektörüne, taşımacılıktan burslara kadar birçok alanı “irtibatlı/iltisaklı” olamama şartına bağlamış; böylece başvurucunun hayatının tüm alanlarını kuşatan bir yasak rejimi ortaya çıkmıştır. Kamu görevinden çıkarma, bu nedenle tek başına bir disiplin tedbiri olmaktan çıkmış, başvurucunun özel hayatını doğrudan etkileyen, sınırları belirsiz ve sürekli yenilenen orantısız bir yaptırıma dönüşmüştür.</w:t>
      </w:r>
    </w:p>
    <w:p w14:paraId="313105F5"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t xml:space="preserve">Üstelik kamuya açık biçimde “terörist” olarak damgalanması, sosyal ilişkilerini tamamen bozmuş ve onu adeta sosyal ölüme mahkûm etmiştir. Başvurucunun meslekten çıkarılma kararının, içinde isminin de bulunduğu liste ile Resmî Gazetede yayınlanmasının da demokratik bir toplumda kabul edilebilir bir gerekçesi bulunmamaktadır. Bir an için kararın ivedilikle kesinleştirilmesi pratik ihtiyacı ile hareket edildiği kabul edilse bile, başvurucunun kişisel itibarında oluşturduğu kalıcı ve sürekli tahribat </w:t>
      </w:r>
      <w:proofErr w:type="gramStart"/>
      <w:r w:rsidRPr="00492203">
        <w:rPr>
          <w:rFonts w:ascii="Arial Narrow" w:eastAsia="Times New Roman" w:hAnsi="Arial Narrow" w:cs="Times New Roman"/>
          <w:szCs w:val="24"/>
          <w:lang w:val="tr-TR" w:eastAsia="tr-TR"/>
        </w:rPr>
        <w:t>ile birlikte</w:t>
      </w:r>
      <w:proofErr w:type="gramEnd"/>
      <w:r w:rsidRPr="00492203">
        <w:rPr>
          <w:rFonts w:ascii="Arial Narrow" w:eastAsia="Times New Roman" w:hAnsi="Arial Narrow" w:cs="Times New Roman"/>
          <w:szCs w:val="24"/>
          <w:lang w:val="tr-TR" w:eastAsia="tr-TR"/>
        </w:rPr>
        <w:t xml:space="preserve"> değerlendirildiğinde, bu amaca masumiyet karinesi ihlal edilmeksizin, başka yöntemlerle ulaşmak pekâlâ mümkün olabilirdi. Nitekim söz konusu karar, Resmî Gazetede yayınlanmakla birlikte ayrıca başvurucuya tebliğ de edilmiştir. </w:t>
      </w:r>
    </w:p>
    <w:p w14:paraId="40BE4718"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r w:rsidRPr="00492203">
        <w:rPr>
          <w:rFonts w:ascii="Arial Narrow" w:eastAsia="Times New Roman" w:hAnsi="Arial Narrow" w:cs="Times New Roman"/>
          <w:szCs w:val="24"/>
          <w:lang w:val="tr-TR" w:eastAsia="tr-TR"/>
        </w:rPr>
        <w:lastRenderedPageBreak/>
        <w:t xml:space="preserve">Öte yandan, başvurucunun demokratik toplumda kabulü mümkün olmayan ölçüde orantısız mağduriyetine neden olan meslekten çıkarılmasına ilişkin süreç, 8. madde ile teminat altına alınan menfaatlerini koruyacak şekilde ve usulü güvencelere riayet edilerek işletilmemiştir. </w:t>
      </w: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Y)K bu kararı alırken, ne hakkındaki delil, bilgi ve belgelerden başvurucuyu haberdar edip savunma imkânı vermiş ne de aldığı meslekten çıkarma kararında kişiselleştirme yaparak karara dayanak delilleri etkin bir yeniden inceleme talebinde bulunabilmesi için başvurucuya bildirmiştir. Yeniden inceleme talebinde bu konuda açıkça talepte bulunup savunma yapmak istediğini belirtmesine rağmen bu talebi dikkate alınmamıştır. Yine meslekten çıkarma kararını alan aynı üyelerden oluşan Genel Kurul önünde ve bilahare Danıştay önünde kendi bakış açısını ve delillerini izah edebileceği çekişmeli bir usulden de mahrum bırakılmıştır.</w:t>
      </w:r>
    </w:p>
    <w:p w14:paraId="5EBA3B4F"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proofErr w:type="gramStart"/>
      <w:r w:rsidRPr="00492203">
        <w:rPr>
          <w:rFonts w:ascii="Arial Narrow" w:eastAsia="Times New Roman" w:hAnsi="Arial Narrow" w:cs="Times New Roman"/>
          <w:szCs w:val="24"/>
          <w:lang w:val="tr-TR" w:eastAsia="tr-TR"/>
        </w:rPr>
        <w:t>HS(</w:t>
      </w:r>
      <w:proofErr w:type="gramEnd"/>
      <w:r w:rsidRPr="00492203">
        <w:rPr>
          <w:rFonts w:ascii="Arial Narrow" w:eastAsia="Times New Roman" w:hAnsi="Arial Narrow" w:cs="Times New Roman"/>
          <w:szCs w:val="24"/>
          <w:lang w:val="tr-TR" w:eastAsia="tr-TR"/>
        </w:rPr>
        <w:t xml:space="preserve">Y)K tarafından başvurucunun meslekten çıkarılması, öncesinde aksini kanıtlama imkânı tanınmadan özel ve mesleki yaşamına ilişkin verilerin toplanıp kullanılması ve kararın Resmî </w:t>
      </w:r>
      <w:proofErr w:type="spellStart"/>
      <w:r w:rsidRPr="00492203">
        <w:rPr>
          <w:rFonts w:ascii="Arial Narrow" w:eastAsia="Times New Roman" w:hAnsi="Arial Narrow" w:cs="Times New Roman"/>
          <w:szCs w:val="24"/>
          <w:lang w:val="tr-TR" w:eastAsia="tr-TR"/>
        </w:rPr>
        <w:t>Gazete’de</w:t>
      </w:r>
      <w:proofErr w:type="spellEnd"/>
      <w:r w:rsidRPr="00492203">
        <w:rPr>
          <w:rFonts w:ascii="Arial Narrow" w:eastAsia="Times New Roman" w:hAnsi="Arial Narrow" w:cs="Times New Roman"/>
          <w:szCs w:val="24"/>
          <w:lang w:val="tr-TR" w:eastAsia="tr-TR"/>
        </w:rPr>
        <w:t xml:space="preserve"> yayımlanması suretiyle özel hayata yapılan müdahale, doğurduğu orantısız sonuçlar ve karar alma sürecinin keyfî müdahaleye karşı etkin koruma sağlamaması nedeniyle </w:t>
      </w:r>
      <w:r w:rsidRPr="00492203">
        <w:rPr>
          <w:rFonts w:ascii="Arial Narrow" w:eastAsia="Times New Roman" w:hAnsi="Arial Narrow" w:cs="Times New Roman"/>
          <w:b/>
          <w:bCs/>
          <w:szCs w:val="24"/>
          <w:lang w:val="tr-TR" w:eastAsia="tr-TR"/>
        </w:rPr>
        <w:t>demokratik toplum gereklerine aykırıdır</w:t>
      </w:r>
      <w:r w:rsidRPr="00492203">
        <w:rPr>
          <w:rFonts w:ascii="Arial Narrow" w:eastAsia="Times New Roman" w:hAnsi="Arial Narrow" w:cs="Times New Roman"/>
          <w:szCs w:val="24"/>
          <w:lang w:val="tr-TR" w:eastAsia="tr-TR"/>
        </w:rPr>
        <w:t>.</w:t>
      </w:r>
    </w:p>
    <w:p w14:paraId="29822C81" w14:textId="77777777" w:rsidR="00492203" w:rsidRPr="00492203" w:rsidRDefault="00492203" w:rsidP="00492203">
      <w:pPr>
        <w:pStyle w:val="ListParagraph"/>
        <w:numPr>
          <w:ilvl w:val="0"/>
          <w:numId w:val="1"/>
        </w:numPr>
        <w:tabs>
          <w:tab w:val="left" w:pos="426"/>
        </w:tabs>
        <w:spacing w:before="0" w:after="0" w:line="360" w:lineRule="auto"/>
        <w:ind w:left="0" w:firstLine="0"/>
        <w:rPr>
          <w:rFonts w:ascii="Arial Narrow" w:eastAsia="Times New Roman" w:hAnsi="Arial Narrow" w:cs="Times New Roman"/>
          <w:szCs w:val="24"/>
          <w:lang w:val="tr-TR"/>
        </w:rPr>
      </w:pP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15. maddesi uyarınca olağanüstü koşullarda bazı kısıtlamalar öngörülebilse de başvurucu, hukuka aykırı hiçbir eylemi bulunmayan ve 15 Temmuz kalkışması ile hiçbir ilgisi olmayan, bu yönde hiçbir iddiada dahi bulunulmayan bir yargı mensubudur. Meslek yaşamı boyunca hiçbir şikâyet veya disiplin soruşturması geçirmemiş, düzenli terfi etmiş ve olumlu siciller almıştır. Buna rağmen, mesnetsiz şekilde, anayasal düzene sadakat yükümlülüğünü yitirdiği kabul edilerek meslekten çıkarılmıştır. Bu tedbir, ne </w:t>
      </w:r>
      <w:proofErr w:type="spellStart"/>
      <w:r w:rsidRPr="00492203">
        <w:rPr>
          <w:rFonts w:ascii="Arial Narrow" w:eastAsia="Times New Roman" w:hAnsi="Arial Narrow" w:cs="Times New Roman"/>
          <w:szCs w:val="24"/>
          <w:lang w:val="tr-TR" w:eastAsia="tr-TR"/>
        </w:rPr>
        <w:t>AİHS’in</w:t>
      </w:r>
      <w:proofErr w:type="spellEnd"/>
      <w:r w:rsidRPr="00492203">
        <w:rPr>
          <w:rFonts w:ascii="Arial Narrow" w:eastAsia="Times New Roman" w:hAnsi="Arial Narrow" w:cs="Times New Roman"/>
          <w:szCs w:val="24"/>
          <w:lang w:val="tr-TR" w:eastAsia="tr-TR"/>
        </w:rPr>
        <w:t xml:space="preserve"> 8. maddesi bakımından gerekli ve orantılıdır, ne de 15. madde kapsamında “durumun gerektirdiği” ölçüdedir.</w:t>
      </w:r>
    </w:p>
    <w:p w14:paraId="01F20C6F" w14:textId="77777777" w:rsidR="00492203" w:rsidRPr="00492203" w:rsidRDefault="00492203" w:rsidP="00492203">
      <w:pPr>
        <w:pStyle w:val="Heading2"/>
        <w:rPr>
          <w:rFonts w:ascii="Arial Narrow" w:hAnsi="Arial Narrow" w:cs="Times New Roman"/>
          <w:szCs w:val="24"/>
        </w:rPr>
      </w:pPr>
      <w:r w:rsidRPr="00492203">
        <w:rPr>
          <w:rFonts w:ascii="Arial Narrow" w:hAnsi="Arial Narrow" w:cs="Times New Roman"/>
          <w:szCs w:val="24"/>
        </w:rPr>
        <w:t xml:space="preserve">AİHS'ne Ek 1 </w:t>
      </w:r>
      <w:proofErr w:type="spellStart"/>
      <w:r w:rsidRPr="00492203">
        <w:rPr>
          <w:rFonts w:ascii="Arial Narrow" w:hAnsi="Arial Narrow" w:cs="Times New Roman"/>
          <w:szCs w:val="24"/>
        </w:rPr>
        <w:t>No'lu</w:t>
      </w:r>
      <w:proofErr w:type="spellEnd"/>
      <w:r w:rsidRPr="00492203">
        <w:rPr>
          <w:rFonts w:ascii="Arial Narrow" w:hAnsi="Arial Narrow" w:cs="Times New Roman"/>
          <w:szCs w:val="24"/>
        </w:rPr>
        <w:t xml:space="preserve"> Protokol m. 1- Mülkiyet hakkı ihlal edilmiştir.</w:t>
      </w:r>
    </w:p>
    <w:p w14:paraId="3DD3C150" w14:textId="37CF6ADB" w:rsidR="00492203" w:rsidRPr="00492203" w:rsidRDefault="00D6659C"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D6659C">
        <w:rPr>
          <w:rFonts w:ascii="Arial Narrow" w:hAnsi="Arial Narrow" w:cs="Times New Roman"/>
          <w:szCs w:val="24"/>
          <w:lang w:val="tr-TR"/>
        </w:rPr>
        <w:t xml:space="preserve">AİHM içtihatlarına göre, kamu görevlilerinin maaşları, emeklilik hakları, tazminat alacakları 1 </w:t>
      </w:r>
      <w:proofErr w:type="spellStart"/>
      <w:r w:rsidRPr="00D6659C">
        <w:rPr>
          <w:rFonts w:ascii="Arial Narrow" w:hAnsi="Arial Narrow" w:cs="Times New Roman"/>
          <w:szCs w:val="24"/>
          <w:lang w:val="tr-TR"/>
        </w:rPr>
        <w:t>No’lu</w:t>
      </w:r>
      <w:proofErr w:type="spellEnd"/>
      <w:r w:rsidRPr="00D6659C">
        <w:rPr>
          <w:rFonts w:ascii="Arial Narrow" w:hAnsi="Arial Narrow" w:cs="Times New Roman"/>
          <w:szCs w:val="24"/>
          <w:lang w:val="tr-TR"/>
        </w:rPr>
        <w:t xml:space="preserve"> Ek Protokolün 1. maddesi kapsamında “mülk” olarak değerlendirilmektedir (Örneğin </w:t>
      </w:r>
      <w:proofErr w:type="spellStart"/>
      <w:r w:rsidRPr="00D6659C">
        <w:rPr>
          <w:rFonts w:ascii="Arial Narrow" w:hAnsi="Arial Narrow" w:cs="Times New Roman"/>
          <w:szCs w:val="24"/>
          <w:lang w:val="tr-TR"/>
        </w:rPr>
        <w:t>Kjartan</w:t>
      </w:r>
      <w:proofErr w:type="spellEnd"/>
      <w:r w:rsidRPr="00D6659C">
        <w:rPr>
          <w:rFonts w:ascii="Arial Narrow" w:hAnsi="Arial Narrow" w:cs="Times New Roman"/>
          <w:szCs w:val="24"/>
          <w:lang w:val="tr-TR"/>
        </w:rPr>
        <w:t xml:space="preserve"> </w:t>
      </w:r>
      <w:proofErr w:type="spellStart"/>
      <w:r w:rsidRPr="00D6659C">
        <w:rPr>
          <w:rFonts w:ascii="Arial Narrow" w:hAnsi="Arial Narrow" w:cs="Times New Roman"/>
          <w:szCs w:val="24"/>
          <w:lang w:val="tr-TR"/>
        </w:rPr>
        <w:t>Ásmundsson</w:t>
      </w:r>
      <w:proofErr w:type="spellEnd"/>
      <w:r w:rsidRPr="00D6659C">
        <w:rPr>
          <w:rFonts w:ascii="Arial Narrow" w:hAnsi="Arial Narrow" w:cs="Times New Roman"/>
          <w:szCs w:val="24"/>
          <w:lang w:val="tr-TR"/>
        </w:rPr>
        <w:t xml:space="preserve">/İzlanda </w:t>
      </w:r>
      <w:proofErr w:type="spellStart"/>
      <w:r w:rsidRPr="00D6659C">
        <w:rPr>
          <w:rFonts w:ascii="Arial Narrow" w:hAnsi="Arial Narrow" w:cs="Times New Roman"/>
          <w:szCs w:val="24"/>
          <w:lang w:val="tr-TR"/>
        </w:rPr>
        <w:t>no</w:t>
      </w:r>
      <w:proofErr w:type="spellEnd"/>
      <w:r w:rsidRPr="00D6659C">
        <w:rPr>
          <w:rFonts w:ascii="Arial Narrow" w:hAnsi="Arial Narrow" w:cs="Times New Roman"/>
          <w:szCs w:val="24"/>
          <w:lang w:val="tr-TR"/>
        </w:rPr>
        <w:t xml:space="preserve">. 60669/00, 12.10.2004 § 39; Müller/Avusturya, </w:t>
      </w:r>
      <w:proofErr w:type="spellStart"/>
      <w:r w:rsidRPr="00D6659C">
        <w:rPr>
          <w:rFonts w:ascii="Arial Narrow" w:hAnsi="Arial Narrow" w:cs="Times New Roman"/>
          <w:szCs w:val="24"/>
          <w:lang w:val="tr-TR"/>
        </w:rPr>
        <w:t>no</w:t>
      </w:r>
      <w:proofErr w:type="spellEnd"/>
      <w:r w:rsidRPr="00D6659C">
        <w:rPr>
          <w:rFonts w:ascii="Arial Narrow" w:hAnsi="Arial Narrow" w:cs="Times New Roman"/>
          <w:szCs w:val="24"/>
          <w:lang w:val="tr-TR"/>
        </w:rPr>
        <w:t xml:space="preserve">. 5849/72, 01.10.1975; </w:t>
      </w:r>
      <w:proofErr w:type="spellStart"/>
      <w:r w:rsidRPr="00D6659C">
        <w:rPr>
          <w:rFonts w:ascii="Arial Narrow" w:hAnsi="Arial Narrow" w:cs="Times New Roman"/>
          <w:szCs w:val="24"/>
          <w:lang w:val="tr-TR"/>
        </w:rPr>
        <w:t>Kechko</w:t>
      </w:r>
      <w:proofErr w:type="spellEnd"/>
      <w:r w:rsidRPr="00D6659C">
        <w:rPr>
          <w:rFonts w:ascii="Arial Narrow" w:hAnsi="Arial Narrow" w:cs="Times New Roman"/>
          <w:szCs w:val="24"/>
          <w:lang w:val="tr-TR"/>
        </w:rPr>
        <w:t>/</w:t>
      </w:r>
      <w:proofErr w:type="spellStart"/>
      <w:r w:rsidRPr="00D6659C">
        <w:rPr>
          <w:rFonts w:ascii="Arial Narrow" w:hAnsi="Arial Narrow" w:cs="Times New Roman"/>
          <w:szCs w:val="24"/>
          <w:lang w:val="tr-TR"/>
        </w:rPr>
        <w:t>Ukraine</w:t>
      </w:r>
      <w:proofErr w:type="spellEnd"/>
      <w:r w:rsidRPr="00D6659C">
        <w:rPr>
          <w:rFonts w:ascii="Arial Narrow" w:hAnsi="Arial Narrow" w:cs="Times New Roman"/>
          <w:szCs w:val="24"/>
          <w:lang w:val="tr-TR"/>
        </w:rPr>
        <w:t xml:space="preserve">, </w:t>
      </w:r>
      <w:proofErr w:type="spellStart"/>
      <w:r w:rsidRPr="00D6659C">
        <w:rPr>
          <w:rFonts w:ascii="Arial Narrow" w:hAnsi="Arial Narrow" w:cs="Times New Roman"/>
          <w:szCs w:val="24"/>
          <w:lang w:val="tr-TR"/>
        </w:rPr>
        <w:t>no</w:t>
      </w:r>
      <w:proofErr w:type="spellEnd"/>
      <w:r w:rsidRPr="00D6659C">
        <w:rPr>
          <w:rFonts w:ascii="Arial Narrow" w:hAnsi="Arial Narrow" w:cs="Times New Roman"/>
          <w:szCs w:val="24"/>
          <w:lang w:val="tr-TR"/>
        </w:rPr>
        <w:t xml:space="preserve">. 63134/00, 08.112005). </w:t>
      </w:r>
      <w:r w:rsidRPr="00D6659C">
        <w:rPr>
          <w:rFonts w:ascii="Arial Narrow" w:hAnsi="Arial Narrow" w:cs="Times New Roman"/>
          <w:szCs w:val="24"/>
          <w:lang w:val="tr"/>
        </w:rPr>
        <w:t xml:space="preserve">AİHM, </w:t>
      </w:r>
      <w:proofErr w:type="spellStart"/>
      <w:r w:rsidRPr="00D6659C">
        <w:rPr>
          <w:rFonts w:ascii="Arial Narrow" w:hAnsi="Arial Narrow" w:cs="Times New Roman"/>
          <w:i/>
          <w:iCs/>
          <w:szCs w:val="24"/>
          <w:lang w:val="tr"/>
        </w:rPr>
        <w:t>Kjartan</w:t>
      </w:r>
      <w:proofErr w:type="spellEnd"/>
      <w:r w:rsidRPr="00D6659C">
        <w:rPr>
          <w:rFonts w:ascii="Arial Narrow" w:hAnsi="Arial Narrow" w:cs="Times New Roman"/>
          <w:i/>
          <w:iCs/>
          <w:szCs w:val="24"/>
          <w:lang w:val="tr"/>
        </w:rPr>
        <w:t xml:space="preserve"> </w:t>
      </w:r>
      <w:proofErr w:type="spellStart"/>
      <w:r w:rsidRPr="00D6659C">
        <w:rPr>
          <w:rFonts w:ascii="Arial Narrow" w:hAnsi="Arial Narrow" w:cs="Times New Roman"/>
          <w:i/>
          <w:iCs/>
          <w:szCs w:val="24"/>
          <w:lang w:val="tr"/>
        </w:rPr>
        <w:t>Ásmundsson</w:t>
      </w:r>
      <w:proofErr w:type="spellEnd"/>
      <w:r w:rsidRPr="00D6659C">
        <w:rPr>
          <w:rFonts w:ascii="Arial Narrow" w:hAnsi="Arial Narrow" w:cs="Times New Roman"/>
          <w:szCs w:val="24"/>
          <w:lang w:val="tr"/>
        </w:rPr>
        <w:t xml:space="preserve"> kararında, sosyal güvenlik veya kamu görevliliği statüsünden doğan hakların, kamu yararı gerekçesiyle tamamen ortadan kaldırılması hâlinde “adil </w:t>
      </w:r>
      <w:proofErr w:type="spellStart"/>
      <w:r w:rsidRPr="00D6659C">
        <w:rPr>
          <w:rFonts w:ascii="Arial Narrow" w:hAnsi="Arial Narrow" w:cs="Times New Roman"/>
          <w:szCs w:val="24"/>
          <w:lang w:val="tr"/>
        </w:rPr>
        <w:t>denge”nin</w:t>
      </w:r>
      <w:proofErr w:type="spellEnd"/>
      <w:r w:rsidRPr="00D6659C">
        <w:rPr>
          <w:rFonts w:ascii="Arial Narrow" w:hAnsi="Arial Narrow" w:cs="Times New Roman"/>
          <w:szCs w:val="24"/>
          <w:lang w:val="tr"/>
        </w:rPr>
        <w:t xml:space="preserve"> bozulduğunu ve bireye “aşırı ve orantısız bir yük” yüklendiğini belirtmiştir. Mahkeme, reform niteliğindeki yasal değişikliklerin bile, kazanılmış hakların özünü ortadan kaldıracak ölçüde uygulanamayacağını vurgulamıştır</w:t>
      </w:r>
      <w:r w:rsidR="00492203" w:rsidRPr="00492203">
        <w:rPr>
          <w:rFonts w:ascii="Arial Narrow" w:hAnsi="Arial Narrow" w:cs="Times New Roman"/>
          <w:szCs w:val="24"/>
          <w:lang w:val="tr-TR"/>
        </w:rPr>
        <w:t>.</w:t>
      </w:r>
    </w:p>
    <w:p w14:paraId="7FABDC5F" w14:textId="708CEDFE" w:rsidR="00492203" w:rsidRPr="00492203" w:rsidRDefault="00B2101D"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B2101D">
        <w:rPr>
          <w:rFonts w:ascii="Arial Narrow" w:hAnsi="Arial Narrow" w:cs="Times New Roman"/>
          <w:szCs w:val="24"/>
          <w:lang w:val="tr"/>
        </w:rPr>
        <w:lastRenderedPageBreak/>
        <w:t xml:space="preserve">Başvurucu yönünden, aylık maaşı yalnızca geleceğe dönük bir meşru beklenti değil; mevzuata uygun şekilde kazanılmış, düzenli ve sürekli nitelikte bir mülkiyet hakkıdır. Başvurucunun meslekten çıkarılmasıyla bu mülkiyet hakkına yapılan müdahale, kanunilik, öngörülebilirlik ve orantılılık ilkelerini ihlal etmiştir. KHK ile getirilen hükümler, geçmişteki varsayılan “irtibat veya iltisak” gerekçelerine dayanarak uygulanmış, başvurucunun bunu önceden öngörme imkânı bulunmamıştır. Ayrıca “irtibat” ve “iltisak” kavramları açık kriterlere dayanmamakta; hukuki belirlilikten yoksun, keyfî yorumlara müsait niteliktedir. Bu durum, mülkiyet hakkına yapılan müdahaleyi hem keyfî hem de orantısız hâle getirmiştir. </w:t>
      </w:r>
      <w:r w:rsidRPr="00B2101D">
        <w:rPr>
          <w:rFonts w:ascii="Arial Narrow" w:hAnsi="Arial Narrow" w:cs="Times New Roman"/>
          <w:szCs w:val="24"/>
          <w:lang w:val="tr-TR"/>
        </w:rPr>
        <w:t>İlgili düzenlemeler, bu keyfilikleri giderecek etkili mekanizmalar içermemektedir</w:t>
      </w:r>
      <w:r w:rsidR="00492203" w:rsidRPr="00492203">
        <w:rPr>
          <w:rFonts w:ascii="Arial Narrow" w:hAnsi="Arial Narrow" w:cs="Times New Roman"/>
          <w:szCs w:val="24"/>
          <w:lang w:val="tr-TR"/>
        </w:rPr>
        <w:t>.</w:t>
      </w:r>
    </w:p>
    <w:p w14:paraId="0CB91608" w14:textId="3CEDB0F8" w:rsidR="00492203" w:rsidRPr="00492203" w:rsidRDefault="00E80519" w:rsidP="00492203">
      <w:pPr>
        <w:pStyle w:val="ListParagraph"/>
        <w:numPr>
          <w:ilvl w:val="0"/>
          <w:numId w:val="1"/>
        </w:numPr>
        <w:tabs>
          <w:tab w:val="left" w:pos="426"/>
        </w:tabs>
        <w:spacing w:before="0" w:after="0" w:line="360" w:lineRule="auto"/>
        <w:ind w:left="0" w:firstLine="0"/>
        <w:rPr>
          <w:rFonts w:ascii="Arial Narrow" w:hAnsi="Arial Narrow" w:cs="Times New Roman"/>
          <w:szCs w:val="24"/>
          <w:lang w:val="tr-TR"/>
        </w:rPr>
      </w:pPr>
      <w:r w:rsidRPr="00E80519">
        <w:rPr>
          <w:rFonts w:ascii="Arial Narrow" w:hAnsi="Arial Narrow" w:cs="Times New Roman"/>
          <w:szCs w:val="24"/>
          <w:lang w:val="tr"/>
        </w:rPr>
        <w:t>Başvurucunun mülkiyet hakkına yapılan bu müdahale, kamu hizmetlerinden süresiz menedilmesi, sosyal güvenlik sisteminde “SGK kaydı” üzerinden özel sektörde çalışmasının da engellenmesiyle birleştiğinde, “aşırı ve orantısız yük” ölçütünü fazlasıyla aşmaktadır. Ulaşılmak istenen amaca, başvurucunun kazanılmış haklarını tamamen ortadan kaldırmadan, daha hafif tedbirlerle ulaşmak mümkündü. Örneğin 2802 sayılı Kanun uyarınca başvurucu geçici olarak açığa alınabilir, yargılama süresince maaşının bir kısmını almaya devam edebilirdi. Benzer şekilde, önceki hizmetleri dikkate alınarak zorunlu emeklilik veya kısmi maaş kesintisi gibi yöntemlerle hem kamu yararı hem de bireyin mülkiyet hakkı arasında adil bir denge sağlanabilirdi</w:t>
      </w:r>
      <w:r w:rsidR="00492203" w:rsidRPr="00492203">
        <w:rPr>
          <w:rFonts w:ascii="Arial Narrow" w:hAnsi="Arial Narrow" w:cs="Times New Roman"/>
          <w:szCs w:val="24"/>
          <w:lang w:val="tr-TR"/>
        </w:rPr>
        <w:t>.</w:t>
      </w:r>
    </w:p>
    <w:sectPr w:rsidR="00492203" w:rsidRPr="00492203" w:rsidSect="00492203">
      <w:footerReference w:type="default" r:id="rId8"/>
      <w:pgSz w:w="11906" w:h="16838"/>
      <w:pgMar w:top="1418" w:right="1985"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8B0F" w14:textId="77777777" w:rsidR="00C042B6" w:rsidRDefault="00C042B6" w:rsidP="0047221A">
      <w:pPr>
        <w:spacing w:before="0" w:after="0" w:line="240" w:lineRule="auto"/>
      </w:pPr>
      <w:r>
        <w:separator/>
      </w:r>
    </w:p>
  </w:endnote>
  <w:endnote w:type="continuationSeparator" w:id="0">
    <w:p w14:paraId="473C0BDF" w14:textId="77777777" w:rsidR="00C042B6" w:rsidRDefault="00C042B6" w:rsidP="004722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BE3B" w14:textId="55A79950" w:rsidR="0047221A" w:rsidRPr="003371DD" w:rsidRDefault="0047221A" w:rsidP="0047221A">
    <w:pPr>
      <w:pStyle w:val="Footer"/>
      <w:jc w:val="center"/>
      <w:rPr>
        <w:rFonts w:ascii="Arial Narrow" w:hAnsi="Arial Narrow"/>
      </w:rPr>
    </w:pPr>
    <w:r w:rsidRPr="003371DD">
      <w:rPr>
        <w:rFonts w:ascii="Arial Narrow" w:hAnsi="Arial Narrow"/>
      </w:rPr>
      <w:fldChar w:fldCharType="begin"/>
    </w:r>
    <w:r w:rsidRPr="003371DD">
      <w:rPr>
        <w:rFonts w:ascii="Arial Narrow" w:hAnsi="Arial Narrow"/>
      </w:rPr>
      <w:instrText xml:space="preserve"> PAGE  \* Arabic  \* MERGEFORMAT </w:instrText>
    </w:r>
    <w:r w:rsidRPr="003371DD">
      <w:rPr>
        <w:rFonts w:ascii="Arial Narrow" w:hAnsi="Arial Narrow"/>
      </w:rPr>
      <w:fldChar w:fldCharType="separate"/>
    </w:r>
    <w:r w:rsidRPr="003371DD">
      <w:rPr>
        <w:rFonts w:ascii="Arial Narrow" w:hAnsi="Arial Narrow"/>
        <w:noProof/>
      </w:rPr>
      <w:t>1</w:t>
    </w:r>
    <w:r w:rsidRPr="003371DD">
      <w:rPr>
        <w:rFonts w:ascii="Arial Narrow" w:hAnsi="Arial Narrow"/>
      </w:rPr>
      <w:fldChar w:fldCharType="end"/>
    </w:r>
    <w:r w:rsidRPr="003371DD">
      <w:rPr>
        <w:rFonts w:ascii="Arial Narrow" w:hAnsi="Arial Narrow"/>
      </w:rPr>
      <w:t xml:space="preserve"> | </w:t>
    </w:r>
    <w:r w:rsidRPr="003371DD">
      <w:rPr>
        <w:rFonts w:ascii="Arial Narrow" w:hAnsi="Arial Narrow"/>
      </w:rPr>
      <w:fldChar w:fldCharType="begin"/>
    </w:r>
    <w:r w:rsidRPr="003371DD">
      <w:rPr>
        <w:rFonts w:ascii="Arial Narrow" w:hAnsi="Arial Narrow"/>
      </w:rPr>
      <w:instrText xml:space="preserve"> NUMPAGES  \* Arabic  \* MERGEFORMAT </w:instrText>
    </w:r>
    <w:r w:rsidRPr="003371DD">
      <w:rPr>
        <w:rFonts w:ascii="Arial Narrow" w:hAnsi="Arial Narrow"/>
      </w:rPr>
      <w:fldChar w:fldCharType="separate"/>
    </w:r>
    <w:r w:rsidRPr="003371DD">
      <w:rPr>
        <w:rFonts w:ascii="Arial Narrow" w:hAnsi="Arial Narrow"/>
        <w:noProof/>
      </w:rPr>
      <w:t>15</w:t>
    </w:r>
    <w:r w:rsidRPr="003371DD">
      <w:rPr>
        <w:rFonts w:ascii="Arial Narrow" w:hAnsi="Arial Narrow"/>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336F8" w14:textId="77777777" w:rsidR="00C042B6" w:rsidRDefault="00C042B6" w:rsidP="0047221A">
      <w:pPr>
        <w:spacing w:before="0" w:after="0" w:line="240" w:lineRule="auto"/>
      </w:pPr>
      <w:r>
        <w:separator/>
      </w:r>
    </w:p>
  </w:footnote>
  <w:footnote w:type="continuationSeparator" w:id="0">
    <w:p w14:paraId="44DA2F2F" w14:textId="77777777" w:rsidR="00C042B6" w:rsidRDefault="00C042B6" w:rsidP="0047221A">
      <w:pPr>
        <w:spacing w:before="0" w:after="0" w:line="240" w:lineRule="auto"/>
      </w:pPr>
      <w:r>
        <w:continuationSeparator/>
      </w:r>
    </w:p>
  </w:footnote>
  <w:footnote w:id="1">
    <w:p w14:paraId="3953F3D3" w14:textId="77777777" w:rsidR="00492203" w:rsidRPr="00156FC5" w:rsidRDefault="00492203" w:rsidP="00492203">
      <w:pPr>
        <w:pStyle w:val="FootnoteText"/>
        <w:jc w:val="both"/>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hyperlink r:id="rId1" w:history="1">
        <w:r w:rsidRPr="00156FC5">
          <w:rPr>
            <w:rStyle w:val="Hyperlink"/>
            <w:rFonts w:ascii="Arial Narrow" w:hAnsi="Arial Narrow" w:cs="Times New Roman"/>
          </w:rPr>
          <w:t>http://www.ab.gov.tr/files/5%20Ekim/son__2016_ilerleme_raporu_tr.pdf</w:t>
        </w:r>
      </w:hyperlink>
      <w:r w:rsidRPr="00156FC5">
        <w:rPr>
          <w:rFonts w:ascii="Arial Narrow" w:hAnsi="Arial Narrow" w:cs="Times New Roman"/>
        </w:rPr>
        <w:t xml:space="preserve"> </w:t>
      </w:r>
    </w:p>
    <w:p w14:paraId="64BDAD6F" w14:textId="77777777" w:rsidR="00492203" w:rsidRPr="00156FC5" w:rsidRDefault="00492203" w:rsidP="00492203">
      <w:pPr>
        <w:pStyle w:val="FootnoteText"/>
        <w:jc w:val="both"/>
        <w:rPr>
          <w:rFonts w:ascii="Arial Narrow" w:hAnsi="Arial Narrow" w:cs="Times New Roman"/>
        </w:rPr>
      </w:pPr>
      <w:r w:rsidRPr="00156FC5">
        <w:rPr>
          <w:rFonts w:ascii="Arial Narrow" w:hAnsi="Arial Narrow" w:cs="Times New Roman"/>
        </w:rPr>
        <w:t>Türkiye’de yargı bağımsızlığı sorununa dair çok sayıda güvenilir rapordan bazılarına aşağıdaki linklerden ulaşılabilir:</w:t>
      </w:r>
    </w:p>
    <w:p w14:paraId="5BB3559D" w14:textId="77777777" w:rsidR="00492203" w:rsidRPr="00156FC5" w:rsidRDefault="00492203" w:rsidP="00492203">
      <w:pPr>
        <w:pStyle w:val="FootnoteText"/>
        <w:rPr>
          <w:rFonts w:ascii="Arial Narrow" w:hAnsi="Arial Narrow" w:cs="Times New Roman"/>
          <w:lang w:val="en-GB"/>
        </w:rPr>
      </w:pPr>
      <w:r w:rsidRPr="00156FC5">
        <w:rPr>
          <w:rFonts w:ascii="Arial Narrow" w:hAnsi="Arial Narrow" w:cs="Times New Roman"/>
          <w:lang w:val="en-GB"/>
        </w:rPr>
        <w:t xml:space="preserve">International Commission of Jurist (ICJ), ‘Turkey: the Judicial System in Peril: A briefing paper’, 2016, </w:t>
      </w:r>
      <w:hyperlink r:id="rId2" w:history="1">
        <w:r w:rsidRPr="00156FC5">
          <w:rPr>
            <w:rStyle w:val="Hyperlink"/>
            <w:rFonts w:ascii="Arial Narrow" w:hAnsi="Arial Narrow" w:cs="Times New Roman"/>
            <w:lang w:val="en-GB"/>
          </w:rPr>
          <w:t>https://www.icj.org/wp-content/uploads/2016/07/Turkey-Judiciary-in-Peril-Publications-Reports-Fact-Findings-Mission-Reports-2016-ENG.pdf</w:t>
        </w:r>
      </w:hyperlink>
      <w:r w:rsidRPr="00156FC5">
        <w:rPr>
          <w:rFonts w:ascii="Arial Narrow" w:hAnsi="Arial Narrow" w:cs="Times New Roman"/>
          <w:lang w:val="en-GB"/>
        </w:rPr>
        <w:t xml:space="preserve"> </w:t>
      </w:r>
    </w:p>
    <w:p w14:paraId="09E83D28" w14:textId="77777777" w:rsidR="00492203" w:rsidRPr="00156FC5" w:rsidRDefault="00492203" w:rsidP="00492203">
      <w:pPr>
        <w:pStyle w:val="FootnoteText"/>
        <w:rPr>
          <w:rFonts w:ascii="Arial Narrow" w:hAnsi="Arial Narrow" w:cs="Times New Roman"/>
          <w:lang w:val="en-GB"/>
        </w:rPr>
      </w:pPr>
      <w:r w:rsidRPr="00156FC5">
        <w:rPr>
          <w:rFonts w:ascii="Arial Narrow" w:hAnsi="Arial Narrow" w:cs="Times New Roman"/>
          <w:lang w:val="en-GB"/>
        </w:rPr>
        <w:t xml:space="preserve">Venice Commission Opinion No. 875/2017, </w:t>
      </w:r>
      <w:hyperlink r:id="rId3" w:history="1">
        <w:r w:rsidRPr="00156FC5">
          <w:rPr>
            <w:rStyle w:val="Hyperlink"/>
            <w:rFonts w:ascii="Arial Narrow" w:hAnsi="Arial Narrow" w:cs="Times New Roman"/>
            <w:lang w:val="en-GB"/>
          </w:rPr>
          <w:t>https://www.venice.coe.int/webforms/documents/default.aspx?pdffile=CDL-AD(2017)005-e</w:t>
        </w:r>
      </w:hyperlink>
    </w:p>
    <w:p w14:paraId="2D7EE832" w14:textId="77777777" w:rsidR="00492203" w:rsidRPr="00156FC5" w:rsidRDefault="00492203" w:rsidP="00492203">
      <w:pPr>
        <w:pStyle w:val="FootnoteText"/>
        <w:rPr>
          <w:rFonts w:ascii="Arial Narrow" w:hAnsi="Arial Narrow" w:cs="Times New Roman"/>
          <w:lang w:val="en-GB"/>
        </w:rPr>
      </w:pPr>
      <w:r w:rsidRPr="00156FC5">
        <w:rPr>
          <w:rFonts w:ascii="Arial Narrow" w:hAnsi="Arial Narrow" w:cs="Times New Roman"/>
          <w:lang w:val="en-GB"/>
        </w:rPr>
        <w:t>International Commission of Jurist (ICJ), ‘</w:t>
      </w:r>
      <w:r w:rsidRPr="00156FC5">
        <w:rPr>
          <w:rFonts w:ascii="Arial Narrow" w:hAnsi="Arial Narrow" w:cs="Times New Roman"/>
        </w:rPr>
        <w:t>Askıya alınan adalet: Adalete Erişim ve Türkiye’ de Olağanüstü Hal’</w:t>
      </w:r>
      <w:r w:rsidRPr="00156FC5">
        <w:rPr>
          <w:rFonts w:ascii="Arial Narrow" w:hAnsi="Arial Narrow" w:cs="Times New Roman"/>
          <w:lang w:val="en-GB"/>
        </w:rPr>
        <w:t xml:space="preserve">, 2018, </w:t>
      </w:r>
      <w:hyperlink r:id="rId4" w:history="1">
        <w:r w:rsidRPr="00156FC5">
          <w:rPr>
            <w:rStyle w:val="Hyperlink"/>
            <w:rFonts w:ascii="Arial Narrow" w:hAnsi="Arial Narrow" w:cs="Times New Roman"/>
            <w:lang w:val="en-GB"/>
          </w:rPr>
          <w:t>https://www.icj.org/wp-content/uploads/2018/12/Turkey-Access-to-justice-Publications-Reports-2018-TUR.pdf?utm</w:t>
        </w:r>
      </w:hyperlink>
      <w:r w:rsidRPr="00156FC5">
        <w:rPr>
          <w:rFonts w:ascii="Arial Narrow" w:hAnsi="Arial Narrow" w:cs="Times New Roman"/>
          <w:lang w:val="en-GB"/>
        </w:rPr>
        <w:t xml:space="preserve"> </w:t>
      </w:r>
    </w:p>
    <w:p w14:paraId="789E96A2" w14:textId="77777777" w:rsidR="00492203" w:rsidRPr="00156FC5" w:rsidRDefault="00492203" w:rsidP="00492203">
      <w:pPr>
        <w:pStyle w:val="FootnoteText"/>
        <w:rPr>
          <w:rFonts w:ascii="Arial Narrow" w:hAnsi="Arial Narrow" w:cs="Times New Roman"/>
          <w:lang w:val="en-GB"/>
        </w:rPr>
      </w:pPr>
      <w:r w:rsidRPr="00156FC5">
        <w:rPr>
          <w:rFonts w:ascii="Arial Narrow" w:hAnsi="Arial Narrow" w:cs="Times New Roman"/>
          <w:lang w:val="en-GB"/>
        </w:rPr>
        <w:t xml:space="preserve">Commissioner For Human Rights of the Council Of Europe, Report Following her Visit to Turkey from 1 to 5 July 2019, 2020, </w:t>
      </w:r>
      <w:hyperlink r:id="rId5" w:history="1">
        <w:r w:rsidRPr="00156FC5">
          <w:rPr>
            <w:rStyle w:val="Hyperlink"/>
            <w:rFonts w:ascii="Arial Narrow" w:hAnsi="Arial Narrow" w:cs="Times New Roman"/>
            <w:lang w:val="en-GB"/>
          </w:rPr>
          <w:t>https://rm.coe.int/report-on-the-visit-to-turkey-by-dunja-mijatovic-council-of-europe-com/168099823e</w:t>
        </w:r>
      </w:hyperlink>
      <w:r w:rsidRPr="00156FC5">
        <w:rPr>
          <w:rFonts w:ascii="Arial Narrow" w:hAnsi="Arial Narrow" w:cs="Times New Roman"/>
          <w:lang w:val="en-GB"/>
        </w:rPr>
        <w:t xml:space="preserve"> </w:t>
      </w:r>
    </w:p>
    <w:p w14:paraId="7705C833" w14:textId="77777777" w:rsidR="00492203" w:rsidRPr="00156FC5" w:rsidRDefault="00492203" w:rsidP="00492203">
      <w:pPr>
        <w:pStyle w:val="FootnoteText"/>
        <w:rPr>
          <w:rFonts w:ascii="Arial Narrow" w:hAnsi="Arial Narrow" w:cs="Times New Roman"/>
          <w:lang w:val="en-GB"/>
        </w:rPr>
      </w:pPr>
      <w:r w:rsidRPr="00156FC5">
        <w:rPr>
          <w:rFonts w:ascii="Arial Narrow" w:hAnsi="Arial Narrow" w:cs="Times New Roman"/>
          <w:lang w:val="en-GB"/>
        </w:rPr>
        <w:t xml:space="preserve">Transparency International, ‘Examining State Capture Undue Influence on Law-Making and the Judiciary in the Western Balkans and Turkey’, 2020, </w:t>
      </w:r>
      <w:hyperlink r:id="rId6" w:history="1">
        <w:r w:rsidRPr="00156FC5">
          <w:rPr>
            <w:rStyle w:val="Hyperlink"/>
            <w:rFonts w:ascii="Arial Narrow" w:hAnsi="Arial Narrow" w:cs="Times New Roman"/>
            <w:lang w:val="en-GB"/>
          </w:rPr>
          <w:t>https://images.transparencycdn.org/images/2020_Report_ExaminingStateCapture_English.pdf</w:t>
        </w:r>
      </w:hyperlink>
      <w:r w:rsidRPr="00156FC5">
        <w:rPr>
          <w:rFonts w:ascii="Arial Narrow" w:hAnsi="Arial Narrow" w:cs="Times New Roman"/>
          <w:lang w:val="en-GB"/>
        </w:rPr>
        <w:t xml:space="preserve"> </w:t>
      </w:r>
    </w:p>
    <w:p w14:paraId="33DE3667" w14:textId="77777777" w:rsidR="00492203" w:rsidRPr="00156FC5" w:rsidRDefault="00492203" w:rsidP="00492203">
      <w:pPr>
        <w:pStyle w:val="FootnoteText"/>
        <w:rPr>
          <w:rFonts w:ascii="Arial Narrow" w:hAnsi="Arial Narrow" w:cs="Times New Roman"/>
          <w:lang w:val="en-GB"/>
        </w:rPr>
      </w:pPr>
      <w:r w:rsidRPr="00156FC5">
        <w:rPr>
          <w:rFonts w:ascii="Arial Narrow" w:hAnsi="Arial Narrow" w:cs="Times New Roman"/>
          <w:lang w:val="en-GB"/>
        </w:rPr>
        <w:t xml:space="preserve">Venice Commission Opinion No. 1196/2024, </w:t>
      </w:r>
      <w:hyperlink r:id="rId7" w:history="1">
        <w:r w:rsidRPr="00156FC5">
          <w:rPr>
            <w:rStyle w:val="Hyperlink"/>
            <w:rFonts w:ascii="Arial Narrow" w:hAnsi="Arial Narrow" w:cs="Times New Roman"/>
            <w:lang w:val="en-GB"/>
          </w:rPr>
          <w:t>https://www.venice.coe.int/webforms/documents/default.aspx?pdffile=CDL-AD(2024)041-e</w:t>
        </w:r>
      </w:hyperlink>
    </w:p>
  </w:footnote>
  <w:footnote w:id="2">
    <w:p w14:paraId="6ED9DA38" w14:textId="77777777" w:rsidR="00492203" w:rsidRPr="00156FC5" w:rsidRDefault="00492203" w:rsidP="00492203">
      <w:pPr>
        <w:pStyle w:val="FootnoteText"/>
        <w:jc w:val="both"/>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hyperlink r:id="rId8" w:history="1">
        <w:r w:rsidRPr="00156FC5">
          <w:rPr>
            <w:rStyle w:val="Hyperlink"/>
            <w:rFonts w:ascii="Arial Narrow" w:hAnsi="Arial Narrow" w:cs="Times New Roman"/>
          </w:rPr>
          <w:t>https://www.aa.com.tr/tr/turkiye/feto-ile-mucadele-edenler-yuksek-yargic-oldu-/1205829</w:t>
        </w:r>
      </w:hyperlink>
    </w:p>
  </w:footnote>
  <w:footnote w:id="3">
    <w:p w14:paraId="36957727" w14:textId="77777777" w:rsidR="00492203" w:rsidRPr="00156FC5" w:rsidRDefault="00492203" w:rsidP="00492203">
      <w:pPr>
        <w:pStyle w:val="FootnoteText"/>
        <w:jc w:val="both"/>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hyperlink r:id="rId9" w:history="1">
        <w:r w:rsidRPr="00156FC5">
          <w:rPr>
            <w:rStyle w:val="Hyperlink"/>
            <w:rFonts w:ascii="Arial Narrow" w:hAnsi="Arial Narrow" w:cs="Times New Roman"/>
          </w:rPr>
          <w:t>https://www.denizlimuhabir.com/denizlim-danistay-uyesi-yunus-aykin-i-konuk-etti/3155</w:t>
        </w:r>
      </w:hyperlink>
    </w:p>
  </w:footnote>
  <w:footnote w:id="4">
    <w:p w14:paraId="1F08E0B9" w14:textId="77777777" w:rsidR="00492203" w:rsidRPr="00156FC5" w:rsidRDefault="00492203" w:rsidP="00492203">
      <w:pPr>
        <w:pStyle w:val="FootnoteText"/>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hyperlink r:id="rId10" w:history="1">
        <w:r w:rsidRPr="00156FC5">
          <w:rPr>
            <w:rStyle w:val="Hyperlink"/>
            <w:rFonts w:ascii="Arial Narrow" w:hAnsi="Arial Narrow" w:cs="Times New Roman"/>
          </w:rPr>
          <w:t>https://www.haberler.com/feto-nun-yargi-icerisindeki-gucu-2014-te-kirildi-9748531-haberi/</w:t>
        </w:r>
      </w:hyperlink>
      <w:r w:rsidRPr="00156FC5">
        <w:rPr>
          <w:rFonts w:ascii="Arial Narrow" w:hAnsi="Arial Narrow" w:cs="Times New Roman"/>
        </w:rPr>
        <w:t xml:space="preserve">, </w:t>
      </w:r>
      <w:hyperlink r:id="rId11" w:history="1">
        <w:r w:rsidRPr="00156FC5">
          <w:rPr>
            <w:rStyle w:val="Hyperlink"/>
            <w:rFonts w:ascii="Arial Narrow" w:hAnsi="Arial Narrow" w:cs="Times New Roman"/>
          </w:rPr>
          <w:t>https://www.haberler.com/guncel/yargida-birlik-dernegi-baskani-heybet-aciklamasi-9730775-haberi/</w:t>
        </w:r>
      </w:hyperlink>
      <w:r w:rsidRPr="00156FC5">
        <w:rPr>
          <w:rFonts w:ascii="Arial Narrow" w:hAnsi="Arial Narrow" w:cs="Times New Roman"/>
        </w:rPr>
        <w:t xml:space="preserve">, </w:t>
      </w:r>
      <w:hyperlink r:id="rId12" w:history="1">
        <w:r w:rsidRPr="00156FC5">
          <w:rPr>
            <w:rStyle w:val="Hyperlink"/>
            <w:rFonts w:ascii="Arial Narrow" w:hAnsi="Arial Narrow" w:cs="Times New Roman"/>
          </w:rPr>
          <w:t>https://www.aa.com.tr/tr/15-temmuz-darbe-girisimi/magduriyet-algisi-ihanetin-perdelenmesi-icin-ozel-calismadir/908987</w:t>
        </w:r>
      </w:hyperlink>
      <w:r w:rsidRPr="00156FC5">
        <w:rPr>
          <w:rFonts w:ascii="Arial Narrow" w:hAnsi="Arial Narrow" w:cs="Times New Roman"/>
        </w:rPr>
        <w:t xml:space="preserve">, </w:t>
      </w:r>
      <w:hyperlink r:id="rId13" w:history="1">
        <w:r w:rsidRPr="00156FC5">
          <w:rPr>
            <w:rStyle w:val="Hyperlink"/>
            <w:rFonts w:ascii="Arial Narrow" w:hAnsi="Arial Narrow" w:cs="Times New Roman"/>
          </w:rPr>
          <w:t>https://www.dha.com.tr/gundem/ybd-baskani-heybet-hsk-bu-yapiyla-mucadelesini-surduruyor-1574311</w:t>
        </w:r>
      </w:hyperlink>
    </w:p>
  </w:footnote>
  <w:footnote w:id="5">
    <w:p w14:paraId="32A1CC9C" w14:textId="77777777" w:rsidR="00492203" w:rsidRPr="00156FC5" w:rsidRDefault="00492203" w:rsidP="00492203">
      <w:pPr>
        <w:pStyle w:val="FootnoteText"/>
        <w:jc w:val="both"/>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hyperlink r:id="rId14" w:history="1">
        <w:r w:rsidRPr="00156FC5">
          <w:rPr>
            <w:rStyle w:val="Hyperlink"/>
            <w:rFonts w:ascii="Arial Narrow" w:hAnsi="Arial Narrow" w:cs="Times New Roman"/>
          </w:rPr>
          <w:t>https://www.sabah.com.tr/gundem/2024/02/12/450-hakim-savci-krizi</w:t>
        </w:r>
      </w:hyperlink>
    </w:p>
  </w:footnote>
  <w:footnote w:id="6">
    <w:p w14:paraId="04334761" w14:textId="77777777" w:rsidR="00492203" w:rsidRPr="00156FC5" w:rsidRDefault="00492203" w:rsidP="00492203">
      <w:pPr>
        <w:pStyle w:val="FootnoteText"/>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hyperlink r:id="rId15" w:history="1">
        <w:r w:rsidRPr="00156FC5">
          <w:rPr>
            <w:rStyle w:val="Hyperlink"/>
            <w:rFonts w:ascii="Arial Narrow" w:hAnsi="Arial Narrow" w:cs="Times New Roman"/>
          </w:rPr>
          <w:t>https://www.sabah.com.tr/gundem/2024/02/15/son-dakika-danistay-fetoden-ihrac-edilen-hakim-ve-savcilari-goreve-iade-etmisti-baskan-erdogandan-sert-tepki-sessiz-kalamayiz?paging=2</w:t>
        </w:r>
      </w:hyperlink>
    </w:p>
  </w:footnote>
  <w:footnote w:id="7">
    <w:p w14:paraId="3E460B63" w14:textId="77777777" w:rsidR="00492203" w:rsidRPr="00156FC5" w:rsidRDefault="00492203" w:rsidP="00492203">
      <w:pPr>
        <w:pStyle w:val="FootnoteText"/>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hyperlink r:id="rId16" w:history="1">
        <w:r w:rsidRPr="00156FC5">
          <w:rPr>
            <w:rStyle w:val="Hyperlink"/>
            <w:rFonts w:ascii="Arial Narrow" w:hAnsi="Arial Narrow" w:cs="Times New Roman"/>
          </w:rPr>
          <w:t>https://justicesquare.org/wp-content/uploads/2025/10/ANAYASA-MAHKEMESININ-GUNCEL-YARGILAMALAR-KAPSAMINDA-YAPILAN-BASVURULARDA-TARAFSIZLIK-BAGIMSIZLIK-VE-ETKILILIK-SORUNSALI.pdf</w:t>
        </w:r>
      </w:hyperlink>
      <w:r w:rsidRPr="00156FC5">
        <w:rPr>
          <w:rFonts w:ascii="Arial Narrow" w:hAnsi="Arial Narrow" w:cs="Times New Roman"/>
        </w:rPr>
        <w:t xml:space="preserve"> </w:t>
      </w:r>
    </w:p>
  </w:footnote>
  <w:footnote w:id="8">
    <w:p w14:paraId="202FA2D1" w14:textId="77777777" w:rsidR="00492203" w:rsidRPr="00156FC5" w:rsidRDefault="00492203" w:rsidP="00492203">
      <w:pPr>
        <w:pStyle w:val="FootnoteText"/>
        <w:jc w:val="both"/>
        <w:rPr>
          <w:rFonts w:ascii="Arial Narrow" w:hAnsi="Arial Narrow" w:cs="Times New Roman"/>
        </w:rPr>
      </w:pPr>
      <w:r w:rsidRPr="00156FC5">
        <w:rPr>
          <w:rStyle w:val="FootnoteReference"/>
          <w:rFonts w:ascii="Arial Narrow" w:hAnsi="Arial Narrow" w:cs="Times New Roman"/>
        </w:rPr>
        <w:footnoteRef/>
      </w:r>
      <w:r w:rsidRPr="00156FC5">
        <w:rPr>
          <w:rFonts w:ascii="Arial Narrow" w:hAnsi="Arial Narrow" w:cs="Times New Roman"/>
        </w:rPr>
        <w:t xml:space="preserve"> </w:t>
      </w:r>
      <w:r w:rsidRPr="00156FC5">
        <w:rPr>
          <w:rFonts w:ascii="Arial Narrow" w:eastAsia="Times New Roman" w:hAnsi="Arial Narrow" w:cs="Times New Roman"/>
        </w:rPr>
        <w:t xml:space="preserve">Örneğin: BM Yargı Bağımsızlığı Temel İlkeleri 12. ve 18. maddeler; 8-10 Temmuz 1998 tarihli Hakimlerin Statüsü Avrupa Şartı; Avrupa Konseyi Bakanlar Komitesi </w:t>
      </w:r>
      <w:proofErr w:type="spellStart"/>
      <w:r w:rsidRPr="00156FC5">
        <w:rPr>
          <w:rFonts w:ascii="Arial Narrow" w:eastAsia="Times New Roman" w:hAnsi="Arial Narrow" w:cs="Times New Roman"/>
        </w:rPr>
        <w:t>Rec</w:t>
      </w:r>
      <w:proofErr w:type="spellEnd"/>
      <w:r w:rsidRPr="00156FC5">
        <w:rPr>
          <w:rFonts w:ascii="Arial Narrow" w:eastAsia="Times New Roman" w:hAnsi="Arial Narrow" w:cs="Times New Roman"/>
        </w:rPr>
        <w:t xml:space="preserve"> (201)12 sayılı kararı; Avrupa Konseyi Hâkimler Danışma Konseyi’nin 1(2001) sayılı ve 23 Kasım 2001 tarihli Hakimlerin Görevden Alınması ve Yargı Bağımsızlığına İlişkin Standartları Dair Görüşü.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95857"/>
    <w:multiLevelType w:val="hybridMultilevel"/>
    <w:tmpl w:val="926CC296"/>
    <w:lvl w:ilvl="0" w:tplc="77BCE414">
      <w:start w:val="1"/>
      <w:numFmt w:val="decimal"/>
      <w:lvlText w:val="%1."/>
      <w:lvlJc w:val="left"/>
      <w:pPr>
        <w:ind w:left="720" w:hanging="360"/>
      </w:pPr>
      <w:rPr>
        <w:b/>
        <w:bCs/>
        <w:color w:val="auto"/>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524903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1C"/>
    <w:rsid w:val="00001581"/>
    <w:rsid w:val="00004D4A"/>
    <w:rsid w:val="00063EED"/>
    <w:rsid w:val="000E0960"/>
    <w:rsid w:val="0014166C"/>
    <w:rsid w:val="00156FC5"/>
    <w:rsid w:val="001777BB"/>
    <w:rsid w:val="001E312B"/>
    <w:rsid w:val="001E555F"/>
    <w:rsid w:val="001E6993"/>
    <w:rsid w:val="002330A4"/>
    <w:rsid w:val="00245360"/>
    <w:rsid w:val="002A15C4"/>
    <w:rsid w:val="0030025B"/>
    <w:rsid w:val="0033659D"/>
    <w:rsid w:val="003371DD"/>
    <w:rsid w:val="00361BB5"/>
    <w:rsid w:val="003652F3"/>
    <w:rsid w:val="003B20C3"/>
    <w:rsid w:val="003B7FCC"/>
    <w:rsid w:val="003F021E"/>
    <w:rsid w:val="004130E0"/>
    <w:rsid w:val="004529E5"/>
    <w:rsid w:val="0047221A"/>
    <w:rsid w:val="00487080"/>
    <w:rsid w:val="00492203"/>
    <w:rsid w:val="00495ADF"/>
    <w:rsid w:val="004A2953"/>
    <w:rsid w:val="00547922"/>
    <w:rsid w:val="005B3D9A"/>
    <w:rsid w:val="005C13BD"/>
    <w:rsid w:val="005C192B"/>
    <w:rsid w:val="00645BAB"/>
    <w:rsid w:val="006C3D67"/>
    <w:rsid w:val="006D40B2"/>
    <w:rsid w:val="006F087E"/>
    <w:rsid w:val="007101AD"/>
    <w:rsid w:val="0071332C"/>
    <w:rsid w:val="00780A6D"/>
    <w:rsid w:val="00787647"/>
    <w:rsid w:val="007B3B45"/>
    <w:rsid w:val="007C6767"/>
    <w:rsid w:val="007D4D2D"/>
    <w:rsid w:val="007E5186"/>
    <w:rsid w:val="008F35C6"/>
    <w:rsid w:val="008F5ADF"/>
    <w:rsid w:val="008F7E5A"/>
    <w:rsid w:val="00946642"/>
    <w:rsid w:val="00960F6C"/>
    <w:rsid w:val="009E0B10"/>
    <w:rsid w:val="009F60F1"/>
    <w:rsid w:val="00A433CD"/>
    <w:rsid w:val="00AB481C"/>
    <w:rsid w:val="00AC31BB"/>
    <w:rsid w:val="00AC4DE1"/>
    <w:rsid w:val="00B2101D"/>
    <w:rsid w:val="00B37482"/>
    <w:rsid w:val="00B81FB8"/>
    <w:rsid w:val="00C042B6"/>
    <w:rsid w:val="00C21726"/>
    <w:rsid w:val="00C47BDD"/>
    <w:rsid w:val="00CE1E7C"/>
    <w:rsid w:val="00CF1414"/>
    <w:rsid w:val="00D060C8"/>
    <w:rsid w:val="00D26BEF"/>
    <w:rsid w:val="00D32016"/>
    <w:rsid w:val="00D37C80"/>
    <w:rsid w:val="00D42426"/>
    <w:rsid w:val="00D6659C"/>
    <w:rsid w:val="00D72DF0"/>
    <w:rsid w:val="00D87053"/>
    <w:rsid w:val="00DE48B0"/>
    <w:rsid w:val="00DF405B"/>
    <w:rsid w:val="00E12B07"/>
    <w:rsid w:val="00E80519"/>
    <w:rsid w:val="00EA4F51"/>
    <w:rsid w:val="00F10ECA"/>
    <w:rsid w:val="00F15B9A"/>
    <w:rsid w:val="00FD5180"/>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A438"/>
  <w15:chartTrackingRefBased/>
  <w15:docId w15:val="{26D200AD-28EF-4AC7-8DC9-5069DE308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05B"/>
    <w:pPr>
      <w:spacing w:before="120" w:after="120"/>
      <w:jc w:val="both"/>
    </w:pPr>
    <w:rPr>
      <w:rFonts w:ascii="Times New Roman" w:hAnsi="Times New Roman"/>
      <w:sz w:val="24"/>
      <w:lang w:val="en-US"/>
    </w:rPr>
  </w:style>
  <w:style w:type="paragraph" w:styleId="Heading1">
    <w:name w:val="heading 1"/>
    <w:basedOn w:val="Normal"/>
    <w:next w:val="Normal"/>
    <w:link w:val="Heading1Char"/>
    <w:autoRedefine/>
    <w:uiPriority w:val="9"/>
    <w:qFormat/>
    <w:rsid w:val="00CF1414"/>
    <w:pPr>
      <w:keepNext/>
      <w:keepLines/>
      <w:spacing w:before="240"/>
      <w:outlineLvl w:val="0"/>
    </w:pPr>
    <w:rPr>
      <w:rFonts w:eastAsiaTheme="majorEastAsia" w:cs="Arial"/>
      <w:b/>
      <w:lang w:val="tr-TR"/>
    </w:rPr>
  </w:style>
  <w:style w:type="paragraph" w:styleId="Heading2">
    <w:name w:val="heading 2"/>
    <w:basedOn w:val="Normal"/>
    <w:next w:val="Normal"/>
    <w:link w:val="Heading2Char"/>
    <w:autoRedefine/>
    <w:uiPriority w:val="9"/>
    <w:unhideWhenUsed/>
    <w:qFormat/>
    <w:rsid w:val="005C192B"/>
    <w:pPr>
      <w:keepNext/>
      <w:keepLines/>
      <w:outlineLvl w:val="1"/>
    </w:pPr>
    <w:rPr>
      <w:rFonts w:eastAsiaTheme="majorEastAsia" w:cstheme="majorBidi"/>
      <w:b/>
      <w:szCs w:val="26"/>
      <w:lang w:val="tr-TR"/>
    </w:rPr>
  </w:style>
  <w:style w:type="paragraph" w:styleId="Heading3">
    <w:name w:val="heading 3"/>
    <w:basedOn w:val="Normal"/>
    <w:next w:val="Normal"/>
    <w:link w:val="Heading3Char"/>
    <w:uiPriority w:val="9"/>
    <w:unhideWhenUsed/>
    <w:qFormat/>
    <w:rsid w:val="000E0960"/>
    <w:pPr>
      <w:keepNext/>
      <w:keepLines/>
      <w:spacing w:before="160" w:after="80"/>
      <w:outlineLvl w:val="2"/>
    </w:pPr>
    <w:rPr>
      <w:rFonts w:eastAsiaTheme="majorEastAsia" w:cstheme="majorBidi"/>
      <w:b/>
      <w:color w:val="215E99" w:themeColor="text2" w:themeTint="BF"/>
      <w:szCs w:val="28"/>
    </w:rPr>
  </w:style>
  <w:style w:type="paragraph" w:styleId="Heading4">
    <w:name w:val="heading 4"/>
    <w:basedOn w:val="Normal"/>
    <w:next w:val="Normal"/>
    <w:link w:val="Heading4Char"/>
    <w:uiPriority w:val="9"/>
    <w:semiHidden/>
    <w:unhideWhenUsed/>
    <w:qFormat/>
    <w:rsid w:val="00AB48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B481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B48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481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481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481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192B"/>
    <w:rPr>
      <w:rFonts w:ascii="Times New Roman" w:eastAsiaTheme="majorEastAsia" w:hAnsi="Times New Roman" w:cstheme="majorBidi"/>
      <w:b/>
      <w:sz w:val="24"/>
      <w:szCs w:val="26"/>
      <w:lang w:val="tr-TR"/>
    </w:rPr>
  </w:style>
  <w:style w:type="character" w:customStyle="1" w:styleId="Heading3Char">
    <w:name w:val="Heading 3 Char"/>
    <w:basedOn w:val="DefaultParagraphFont"/>
    <w:link w:val="Heading3"/>
    <w:uiPriority w:val="9"/>
    <w:rsid w:val="000E0960"/>
    <w:rPr>
      <w:rFonts w:eastAsiaTheme="majorEastAsia" w:cstheme="majorBidi"/>
      <w:b/>
      <w:color w:val="215E99" w:themeColor="text2" w:themeTint="BF"/>
      <w:sz w:val="24"/>
      <w:szCs w:val="28"/>
    </w:rPr>
  </w:style>
  <w:style w:type="character" w:customStyle="1" w:styleId="Heading1Char">
    <w:name w:val="Heading 1 Char"/>
    <w:basedOn w:val="DefaultParagraphFont"/>
    <w:link w:val="Heading1"/>
    <w:uiPriority w:val="9"/>
    <w:rsid w:val="00CF1414"/>
    <w:rPr>
      <w:rFonts w:ascii="Times New Roman" w:eastAsiaTheme="majorEastAsia" w:hAnsi="Times New Roman" w:cs="Arial"/>
      <w:b/>
      <w:sz w:val="24"/>
      <w:lang w:val="tr-TR"/>
    </w:rPr>
  </w:style>
  <w:style w:type="character" w:customStyle="1" w:styleId="Heading4Char">
    <w:name w:val="Heading 4 Char"/>
    <w:basedOn w:val="DefaultParagraphFont"/>
    <w:link w:val="Heading4"/>
    <w:uiPriority w:val="9"/>
    <w:semiHidden/>
    <w:rsid w:val="00AB481C"/>
    <w:rPr>
      <w:rFonts w:eastAsiaTheme="majorEastAsia" w:cstheme="majorBidi"/>
      <w:i/>
      <w:iCs/>
      <w:color w:val="0F4761" w:themeColor="accent1" w:themeShade="BF"/>
      <w:sz w:val="24"/>
      <w:lang w:val="en-US"/>
    </w:rPr>
  </w:style>
  <w:style w:type="character" w:customStyle="1" w:styleId="Heading5Char">
    <w:name w:val="Heading 5 Char"/>
    <w:basedOn w:val="DefaultParagraphFont"/>
    <w:link w:val="Heading5"/>
    <w:uiPriority w:val="9"/>
    <w:semiHidden/>
    <w:rsid w:val="00AB481C"/>
    <w:rPr>
      <w:rFonts w:eastAsiaTheme="majorEastAsia" w:cstheme="majorBidi"/>
      <w:color w:val="0F4761" w:themeColor="accent1" w:themeShade="BF"/>
      <w:sz w:val="24"/>
      <w:lang w:val="en-US"/>
    </w:rPr>
  </w:style>
  <w:style w:type="character" w:customStyle="1" w:styleId="Heading6Char">
    <w:name w:val="Heading 6 Char"/>
    <w:basedOn w:val="DefaultParagraphFont"/>
    <w:link w:val="Heading6"/>
    <w:uiPriority w:val="9"/>
    <w:semiHidden/>
    <w:rsid w:val="00AB481C"/>
    <w:rPr>
      <w:rFonts w:eastAsiaTheme="majorEastAsia" w:cstheme="majorBidi"/>
      <w:i/>
      <w:iCs/>
      <w:color w:val="595959" w:themeColor="text1" w:themeTint="A6"/>
      <w:sz w:val="24"/>
      <w:lang w:val="en-US"/>
    </w:rPr>
  </w:style>
  <w:style w:type="character" w:customStyle="1" w:styleId="Heading7Char">
    <w:name w:val="Heading 7 Char"/>
    <w:basedOn w:val="DefaultParagraphFont"/>
    <w:link w:val="Heading7"/>
    <w:uiPriority w:val="9"/>
    <w:semiHidden/>
    <w:rsid w:val="00AB481C"/>
    <w:rPr>
      <w:rFonts w:eastAsiaTheme="majorEastAsia" w:cstheme="majorBidi"/>
      <w:color w:val="595959" w:themeColor="text1" w:themeTint="A6"/>
      <w:sz w:val="24"/>
      <w:lang w:val="en-US"/>
    </w:rPr>
  </w:style>
  <w:style w:type="character" w:customStyle="1" w:styleId="Heading8Char">
    <w:name w:val="Heading 8 Char"/>
    <w:basedOn w:val="DefaultParagraphFont"/>
    <w:link w:val="Heading8"/>
    <w:uiPriority w:val="9"/>
    <w:semiHidden/>
    <w:rsid w:val="00AB481C"/>
    <w:rPr>
      <w:rFonts w:eastAsiaTheme="majorEastAsia" w:cstheme="majorBidi"/>
      <w:i/>
      <w:iCs/>
      <w:color w:val="272727" w:themeColor="text1" w:themeTint="D8"/>
      <w:sz w:val="24"/>
      <w:lang w:val="en-US"/>
    </w:rPr>
  </w:style>
  <w:style w:type="character" w:customStyle="1" w:styleId="Heading9Char">
    <w:name w:val="Heading 9 Char"/>
    <w:basedOn w:val="DefaultParagraphFont"/>
    <w:link w:val="Heading9"/>
    <w:uiPriority w:val="9"/>
    <w:semiHidden/>
    <w:rsid w:val="00AB481C"/>
    <w:rPr>
      <w:rFonts w:eastAsiaTheme="majorEastAsia" w:cstheme="majorBidi"/>
      <w:color w:val="272727" w:themeColor="text1" w:themeTint="D8"/>
      <w:sz w:val="24"/>
      <w:lang w:val="en-US"/>
    </w:rPr>
  </w:style>
  <w:style w:type="paragraph" w:styleId="Title">
    <w:name w:val="Title"/>
    <w:basedOn w:val="Normal"/>
    <w:next w:val="Normal"/>
    <w:link w:val="TitleChar"/>
    <w:uiPriority w:val="10"/>
    <w:qFormat/>
    <w:rsid w:val="00AB481C"/>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81C"/>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AB48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81C"/>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AB48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B481C"/>
    <w:rPr>
      <w:rFonts w:ascii="Times New Roman" w:hAnsi="Times New Roman"/>
      <w:i/>
      <w:iCs/>
      <w:color w:val="404040" w:themeColor="text1" w:themeTint="BF"/>
      <w:sz w:val="24"/>
      <w:lang w:val="en-US"/>
    </w:rPr>
  </w:style>
  <w:style w:type="paragraph" w:styleId="ListParagraph">
    <w:name w:val="List Paragraph"/>
    <w:basedOn w:val="Normal"/>
    <w:uiPriority w:val="34"/>
    <w:qFormat/>
    <w:rsid w:val="00AB481C"/>
    <w:pPr>
      <w:ind w:left="720"/>
      <w:contextualSpacing/>
    </w:pPr>
  </w:style>
  <w:style w:type="character" w:styleId="IntenseEmphasis">
    <w:name w:val="Intense Emphasis"/>
    <w:basedOn w:val="DefaultParagraphFont"/>
    <w:uiPriority w:val="21"/>
    <w:qFormat/>
    <w:rsid w:val="00AB481C"/>
    <w:rPr>
      <w:i/>
      <w:iCs/>
      <w:color w:val="0F4761" w:themeColor="accent1" w:themeShade="BF"/>
    </w:rPr>
  </w:style>
  <w:style w:type="paragraph" w:styleId="IntenseQuote">
    <w:name w:val="Intense Quote"/>
    <w:basedOn w:val="Normal"/>
    <w:next w:val="Normal"/>
    <w:link w:val="IntenseQuoteChar"/>
    <w:uiPriority w:val="30"/>
    <w:qFormat/>
    <w:rsid w:val="00AB4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481C"/>
    <w:rPr>
      <w:rFonts w:ascii="Times New Roman" w:hAnsi="Times New Roman"/>
      <w:i/>
      <w:iCs/>
      <w:color w:val="0F4761" w:themeColor="accent1" w:themeShade="BF"/>
      <w:sz w:val="24"/>
      <w:lang w:val="en-US"/>
    </w:rPr>
  </w:style>
  <w:style w:type="character" w:styleId="IntenseReference">
    <w:name w:val="Intense Reference"/>
    <w:basedOn w:val="DefaultParagraphFont"/>
    <w:uiPriority w:val="32"/>
    <w:qFormat/>
    <w:rsid w:val="00AB481C"/>
    <w:rPr>
      <w:b/>
      <w:bCs/>
      <w:smallCaps/>
      <w:color w:val="0F4761" w:themeColor="accent1" w:themeShade="BF"/>
      <w:spacing w:val="5"/>
    </w:rPr>
  </w:style>
  <w:style w:type="paragraph" w:styleId="CommentText">
    <w:name w:val="annotation text"/>
    <w:basedOn w:val="Normal"/>
    <w:link w:val="CommentTextChar"/>
    <w:uiPriority w:val="99"/>
    <w:unhideWhenUsed/>
    <w:rsid w:val="0047221A"/>
    <w:pPr>
      <w:spacing w:before="0" w:after="160" w:line="240" w:lineRule="auto"/>
      <w:jc w:val="left"/>
    </w:pPr>
    <w:rPr>
      <w:rFonts w:ascii="Aptos" w:eastAsia="Aptos" w:hAnsi="Aptos" w:cs="Aptos"/>
      <w:kern w:val="0"/>
      <w:sz w:val="20"/>
      <w:szCs w:val="20"/>
      <w:lang w:val="tr" w:eastAsia="fr-CH"/>
      <w14:ligatures w14:val="none"/>
    </w:rPr>
  </w:style>
  <w:style w:type="character" w:customStyle="1" w:styleId="CommentTextChar">
    <w:name w:val="Comment Text Char"/>
    <w:basedOn w:val="DefaultParagraphFont"/>
    <w:link w:val="CommentText"/>
    <w:uiPriority w:val="99"/>
    <w:rsid w:val="0047221A"/>
    <w:rPr>
      <w:rFonts w:ascii="Aptos" w:eastAsia="Aptos" w:hAnsi="Aptos" w:cs="Aptos"/>
      <w:kern w:val="0"/>
      <w:sz w:val="20"/>
      <w:szCs w:val="20"/>
      <w:lang w:val="tr" w:eastAsia="fr-CH"/>
      <w14:ligatures w14:val="none"/>
    </w:rPr>
  </w:style>
  <w:style w:type="character" w:styleId="CommentReference">
    <w:name w:val="annotation reference"/>
    <w:basedOn w:val="DefaultParagraphFont"/>
    <w:uiPriority w:val="99"/>
    <w:semiHidden/>
    <w:unhideWhenUsed/>
    <w:rsid w:val="0047221A"/>
    <w:rPr>
      <w:sz w:val="16"/>
      <w:szCs w:val="16"/>
    </w:rPr>
  </w:style>
  <w:style w:type="character" w:styleId="Hyperlink">
    <w:name w:val="Hyperlink"/>
    <w:basedOn w:val="DefaultParagraphFont"/>
    <w:uiPriority w:val="99"/>
    <w:unhideWhenUsed/>
    <w:rsid w:val="0047221A"/>
    <w:rPr>
      <w:color w:val="0000FF"/>
      <w:u w:val="single"/>
    </w:rPr>
  </w:style>
  <w:style w:type="paragraph" w:styleId="FootnoteText">
    <w:name w:val="footnote text"/>
    <w:aliases w:val="Dipnot Metni Char Char Char Char,Dipnot Metni Char Char Char"/>
    <w:basedOn w:val="Normal"/>
    <w:link w:val="FootnoteTextChar"/>
    <w:uiPriority w:val="99"/>
    <w:unhideWhenUsed/>
    <w:rsid w:val="0047221A"/>
    <w:pPr>
      <w:spacing w:before="0" w:after="0" w:line="240" w:lineRule="auto"/>
      <w:jc w:val="left"/>
    </w:pPr>
    <w:rPr>
      <w:rFonts w:ascii="Aptos" w:eastAsia="Aptos" w:hAnsi="Aptos" w:cs="Aptos"/>
      <w:kern w:val="0"/>
      <w:sz w:val="20"/>
      <w:szCs w:val="20"/>
      <w:lang w:val="tr" w:eastAsia="fr-CH"/>
      <w14:ligatures w14:val="none"/>
    </w:rPr>
  </w:style>
  <w:style w:type="character" w:customStyle="1" w:styleId="FootnoteTextChar">
    <w:name w:val="Footnote Text Char"/>
    <w:aliases w:val="Dipnot Metni Char Char Char Char Char,Dipnot Metni Char Char Char Char1"/>
    <w:basedOn w:val="DefaultParagraphFont"/>
    <w:link w:val="FootnoteText"/>
    <w:uiPriority w:val="99"/>
    <w:rsid w:val="0047221A"/>
    <w:rPr>
      <w:rFonts w:ascii="Aptos" w:eastAsia="Aptos" w:hAnsi="Aptos" w:cs="Aptos"/>
      <w:kern w:val="0"/>
      <w:sz w:val="20"/>
      <w:szCs w:val="20"/>
      <w:lang w:val="tr" w:eastAsia="fr-CH"/>
      <w14:ligatures w14:val="none"/>
    </w:rPr>
  </w:style>
  <w:style w:type="character" w:styleId="FootnoteReference">
    <w:name w:val="footnote reference"/>
    <w:basedOn w:val="DefaultParagraphFont"/>
    <w:uiPriority w:val="99"/>
    <w:unhideWhenUsed/>
    <w:qFormat/>
    <w:rsid w:val="0047221A"/>
    <w:rPr>
      <w:vertAlign w:val="superscript"/>
    </w:rPr>
  </w:style>
  <w:style w:type="paragraph" w:styleId="Header">
    <w:name w:val="header"/>
    <w:basedOn w:val="Normal"/>
    <w:link w:val="HeaderChar"/>
    <w:uiPriority w:val="99"/>
    <w:unhideWhenUsed/>
    <w:rsid w:val="0047221A"/>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47221A"/>
    <w:rPr>
      <w:rFonts w:ascii="Times New Roman" w:hAnsi="Times New Roman"/>
      <w:sz w:val="24"/>
      <w:lang w:val="en-US"/>
    </w:rPr>
  </w:style>
  <w:style w:type="paragraph" w:styleId="Footer">
    <w:name w:val="footer"/>
    <w:basedOn w:val="Normal"/>
    <w:link w:val="FooterChar"/>
    <w:uiPriority w:val="99"/>
    <w:unhideWhenUsed/>
    <w:rsid w:val="0047221A"/>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47221A"/>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aa.com.tr/tr/turkiye/feto-ile-mucadele-edenler-yuksek-yargic-oldu-/1205829" TargetMode="External"/><Relationship Id="rId13" Type="http://schemas.openxmlformats.org/officeDocument/2006/relationships/hyperlink" Target="https://www.dha.com.tr/gundem/ybd-baskani-heybet-hsk-bu-yapiyla-mucadelesini-surduruyor-1574311" TargetMode="External"/><Relationship Id="rId3" Type="http://schemas.openxmlformats.org/officeDocument/2006/relationships/hyperlink" Target="https://www.venice.coe.int/webforms/documents/default.aspx?pdffile=CDL-AD(2017)005-e" TargetMode="External"/><Relationship Id="rId7" Type="http://schemas.openxmlformats.org/officeDocument/2006/relationships/hyperlink" Target="https://www.venice.coe.int/webforms/documents/default.aspx?pdffile=CDL-AD(2024)041-e" TargetMode="External"/><Relationship Id="rId12" Type="http://schemas.openxmlformats.org/officeDocument/2006/relationships/hyperlink" Target="https://www.aa.com.tr/tr/15-temmuz-darbe-girisimi/magduriyet-algisi-ihanetin-perdelenmesi-icin-ozel-calismadir/908987" TargetMode="External"/><Relationship Id="rId2" Type="http://schemas.openxmlformats.org/officeDocument/2006/relationships/hyperlink" Target="https://www.icj.org/wp-content/uploads/2016/07/Turkey-Judiciary-in-Peril-Publications-Reports-Fact-Findings-Mission-Reports-2016-ENG.pdf" TargetMode="External"/><Relationship Id="rId16" Type="http://schemas.openxmlformats.org/officeDocument/2006/relationships/hyperlink" Target="https://justicesquare.org/wp-content/uploads/2025/10/ANAYASA-MAHKEMESININ-GUNCEL-YARGILAMALAR-KAPSAMINDA-YAPILAN-BASVURULARDA-TARAFSIZLIK-BAGIMSIZLIK-VE-ETKILILIK-SORUNSALI.pdf" TargetMode="External"/><Relationship Id="rId1" Type="http://schemas.openxmlformats.org/officeDocument/2006/relationships/hyperlink" Target="http://www.ab.gov.tr/files/5%20Ekim/son__2016_ilerleme_raporu_tr.pdf" TargetMode="External"/><Relationship Id="rId6" Type="http://schemas.openxmlformats.org/officeDocument/2006/relationships/hyperlink" Target="https://images.transparencycdn.org/images/2020_Report_ExaminingStateCapture_English.pdf" TargetMode="External"/><Relationship Id="rId11" Type="http://schemas.openxmlformats.org/officeDocument/2006/relationships/hyperlink" Target="https://www.haberler.com/guncel/yargida-birlik-dernegi-baskani-heybet-aciklamasi-9730775-haberi/" TargetMode="External"/><Relationship Id="rId5" Type="http://schemas.openxmlformats.org/officeDocument/2006/relationships/hyperlink" Target="https://rm.coe.int/report-on-the-visit-to-turkey-by-dunja-mijatovic-council-of-europe-com/168099823e" TargetMode="External"/><Relationship Id="rId15" Type="http://schemas.openxmlformats.org/officeDocument/2006/relationships/hyperlink" Target="https://www.sabah.com.tr/gundem/2024/02/15/son-dakika-danistay-fetoden-ihrac-edilen-hakim-ve-savcilari-goreve-iade-etmisti-baskan-erdogandan-sert-tepki-sessiz-kalamayiz?paging=2" TargetMode="External"/><Relationship Id="rId10" Type="http://schemas.openxmlformats.org/officeDocument/2006/relationships/hyperlink" Target="https://www.haberler.com/feto-nun-yargi-icerisindeki-gucu-2014-te-kirildi-9748531-haberi/" TargetMode="External"/><Relationship Id="rId4" Type="http://schemas.openxmlformats.org/officeDocument/2006/relationships/hyperlink" Target="https://www.icj.org/wp-content/uploads/2018/12/Turkey-Access-to-justice-Publications-Reports-2018-TUR.pdf?utm" TargetMode="External"/><Relationship Id="rId9" Type="http://schemas.openxmlformats.org/officeDocument/2006/relationships/hyperlink" Target="https://www.denizlimuhabir.com/denizlim-danistay-uyesi-yunus-aykin-i-konuk-etti/3155" TargetMode="External"/><Relationship Id="rId14" Type="http://schemas.openxmlformats.org/officeDocument/2006/relationships/hyperlink" Target="https://www.sabah.com.tr/gundem/2024/02/12/450-hakim-savci-kriz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5EC3C-4952-449E-AB7C-359995FF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20</Pages>
  <Words>6516</Words>
  <Characters>46532</Characters>
  <DocSecurity>0</DocSecurity>
  <Lines>628</Lines>
  <Paragraphs>81</Paragraphs>
  <ScaleCrop>false</ScaleCrop>
  <Company/>
  <LinksUpToDate>false</LinksUpToDate>
  <CharactersWithSpaces>52967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2025-10-02T13:34:00Z</cp:lastPrinted>
  <dcterms:created xsi:type="dcterms:W3CDTF">2025-10-01T12:00:00Z</dcterms:created>
  <dcterms:modified xsi:type="dcterms:W3CDTF">2025-12-18T09:16:00Z</dcterms:modified>
</cp:coreProperties>
</file>