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57A52" w14:textId="21D4A206" w:rsidR="006D40B2" w:rsidRPr="00AE7BC3" w:rsidRDefault="0047221A" w:rsidP="00492203">
      <w:pPr>
        <w:jc w:val="center"/>
        <w:rPr>
          <w:rFonts w:cs="Times New Roman"/>
          <w:b/>
          <w:szCs w:val="24"/>
          <w:lang w:val="tr-TR"/>
        </w:rPr>
      </w:pPr>
      <w:r w:rsidRPr="00AE7BC3">
        <w:rPr>
          <w:rFonts w:cs="Times New Roman"/>
          <w:b/>
          <w:szCs w:val="24"/>
          <w:lang w:val="tr-TR"/>
        </w:rPr>
        <w:t>BAŞVURU FORMUNA EK AÇIKLAMALAR</w:t>
      </w:r>
    </w:p>
    <w:p w14:paraId="3A5103CB" w14:textId="77777777" w:rsidR="00AE7BC3" w:rsidRPr="00AE7BC3" w:rsidRDefault="00AE7BC3" w:rsidP="00AE7BC3">
      <w:pPr>
        <w:pStyle w:val="Heading2"/>
        <w:rPr>
          <w:rFonts w:cs="Times New Roman"/>
          <w:szCs w:val="24"/>
        </w:rPr>
      </w:pPr>
      <w:r w:rsidRPr="00AE7BC3">
        <w:rPr>
          <w:rFonts w:cs="Times New Roman"/>
          <w:szCs w:val="24"/>
        </w:rPr>
        <w:t>AİHS m.6’nın cezai boyutu, somut olayda uygulanabilir niteliktedir.</w:t>
      </w:r>
    </w:p>
    <w:p w14:paraId="510B5491" w14:textId="77777777" w:rsidR="00AE7BC3" w:rsidRPr="00AE7BC3" w:rsidRDefault="00AE7BC3" w:rsidP="00AE7BC3">
      <w:pPr>
        <w:pStyle w:val="ListParagraph"/>
        <w:numPr>
          <w:ilvl w:val="0"/>
          <w:numId w:val="1"/>
        </w:numPr>
        <w:tabs>
          <w:tab w:val="left" w:pos="284"/>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Başvurucunun meslekten çıkarılması, 15 Temmuz’dan önce yapılan fişlemelere dayanmaktadır. KHK’lara ekli listede yer almak ceza yargılamasına konu edilmiş, açığa alma kararı tutuklamaya, tutuklama ise meslekten çıkarma işlemine gerekçe olmuştur. Meslekten çıkarma kararı, iddianame ve yargılama sürecine dayanak yapılmış, verilen mahkûmiyet hükmü de idare mahkemesi tarafından başvurucunun meslekten çıkarılmasına karşı açtığı davanın reddine gerekçe gösterilmiştir. Böylece gözaltından mahkûmiyete ve hatta idari yargı sürecine kadar tüm aşamalar, hukuka aykırı fişleme listelerine dayalı, kapalı ve otomatik bir döngü oluşturmuştur. </w:t>
      </w:r>
      <w:r w:rsidRPr="00AE7BC3">
        <w:rPr>
          <w:rFonts w:eastAsia="Times New Roman" w:cs="Times New Roman"/>
          <w:color w:val="C00000"/>
          <w:szCs w:val="24"/>
          <w:highlight w:val="yellow"/>
          <w:lang w:val="tr-TR"/>
        </w:rPr>
        <w:t>(Bu paragrafı, gerekiyorsa somut olaya uygun şekilde güncelleyiniz)</w:t>
      </w:r>
    </w:p>
    <w:p w14:paraId="3AB82601" w14:textId="77777777" w:rsidR="00AE7BC3" w:rsidRPr="00AE7BC3" w:rsidRDefault="00AE7BC3" w:rsidP="00AE7BC3">
      <w:pPr>
        <w:pStyle w:val="ListParagraph"/>
        <w:numPr>
          <w:ilvl w:val="0"/>
          <w:numId w:val="1"/>
        </w:numPr>
        <w:tabs>
          <w:tab w:val="left" w:pos="284"/>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Bu süreçte başvurucu, terör örgütü ile irtibatlı veya iltisaklı olma gerekçesiyle meslekten çıkarılmış, ömür boyu tüm kamu görevlerinden menedilmiş ve SGK şerhi nedeniyle özel sektörde de çalışamaz hale getirilmiştir. Başvurucunun meslekten çıkarılması işlemi, (i) her ne kadar olağanüstü bir tedbir olarak adlandırılsa da dayanağı doğrudan Türk Ceza Kanunu’nda (TCK) da suç olarak düzenlenen “terör örgütü üyeliği” ve eşdeğer sonuçlar doğuran “irtibat ve iltisaklı </w:t>
      </w:r>
      <w:proofErr w:type="spellStart"/>
      <w:r w:rsidRPr="00AE7BC3">
        <w:rPr>
          <w:rFonts w:eastAsia="Times New Roman" w:cs="Times New Roman"/>
          <w:szCs w:val="24"/>
          <w:lang w:val="tr-TR"/>
        </w:rPr>
        <w:t>olmak”tır</w:t>
      </w:r>
      <w:proofErr w:type="spellEnd"/>
      <w:r w:rsidRPr="00AE7BC3">
        <w:rPr>
          <w:rFonts w:eastAsia="Times New Roman" w:cs="Times New Roman"/>
          <w:szCs w:val="24"/>
          <w:lang w:val="tr-TR"/>
        </w:rPr>
        <w:t>. (ii) başvurucu karalayıcı içerikli KHK ve ekindeki listede “terör örgütü mensubu” olarak ilan edilmiştir. (iii) ömür boyu kamu görevinden ve diğer kamu hizmetlerinden menedilmiş ve özel sektörde çalışma imkânı da ortadan kaldırılmıştır. (iv) ayrıca ihraç tedbirleri münferit olmayıp, on binlerce kamu görevlisine aynı genelleyici suçlamalarla topluca uygulanmıştır.</w:t>
      </w:r>
    </w:p>
    <w:p w14:paraId="4596BA59" w14:textId="77777777" w:rsidR="00AE7BC3" w:rsidRPr="00AE7BC3" w:rsidRDefault="00AE7BC3" w:rsidP="00AE7BC3">
      <w:pPr>
        <w:pStyle w:val="ListParagraph"/>
        <w:numPr>
          <w:ilvl w:val="0"/>
          <w:numId w:val="1"/>
        </w:numPr>
        <w:tabs>
          <w:tab w:val="left" w:pos="284"/>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Kamu hizmetinden yasaklılık TCK m.53’te </w:t>
      </w:r>
      <w:proofErr w:type="spellStart"/>
      <w:r w:rsidRPr="00AE7BC3">
        <w:rPr>
          <w:rFonts w:eastAsia="Times New Roman" w:cs="Times New Roman"/>
          <w:szCs w:val="24"/>
          <w:lang w:val="tr-TR"/>
        </w:rPr>
        <w:t>fer’î</w:t>
      </w:r>
      <w:proofErr w:type="spellEnd"/>
      <w:r w:rsidRPr="00AE7BC3">
        <w:rPr>
          <w:rFonts w:eastAsia="Times New Roman" w:cs="Times New Roman"/>
          <w:szCs w:val="24"/>
          <w:lang w:val="tr-TR"/>
        </w:rPr>
        <w:t xml:space="preserve"> ceza, Devlet Memurları Kanunu m.125/e’de ise en ağır disiplin cezası olarak öngörülmüştür. Dolayısıyla meslekten çıkarma, yalnızca idari bir tedbir olmayıp, Türk hukukuna göre de ceza niteliği taşıyan ağır ve süresiz bir yaptırımdır. AİHM, Polonya’daki </w:t>
      </w:r>
      <w:proofErr w:type="spellStart"/>
      <w:r w:rsidRPr="00AE7BC3">
        <w:rPr>
          <w:rFonts w:eastAsia="Times New Roman" w:cs="Times New Roman"/>
          <w:szCs w:val="24"/>
          <w:lang w:val="tr-TR"/>
        </w:rPr>
        <w:t>lustration</w:t>
      </w:r>
      <w:proofErr w:type="spellEnd"/>
      <w:r w:rsidRPr="00AE7BC3">
        <w:rPr>
          <w:rFonts w:eastAsia="Times New Roman" w:cs="Times New Roman"/>
          <w:szCs w:val="24"/>
          <w:lang w:val="tr-TR"/>
        </w:rPr>
        <w:t xml:space="preserve"> davalarında (</w:t>
      </w:r>
      <w:proofErr w:type="spellStart"/>
      <w:r w:rsidRPr="00AE7BC3">
        <w:rPr>
          <w:rFonts w:eastAsia="Times New Roman" w:cs="Times New Roman"/>
          <w:szCs w:val="24"/>
          <w:lang w:val="tr-TR"/>
        </w:rPr>
        <w:t>Matyjek</w:t>
      </w:r>
      <w:proofErr w:type="spellEnd"/>
      <w:r w:rsidRPr="00AE7BC3">
        <w:rPr>
          <w:rFonts w:eastAsia="Times New Roman" w:cs="Times New Roman"/>
          <w:szCs w:val="24"/>
          <w:lang w:val="tr-TR"/>
        </w:rPr>
        <w:t xml:space="preserve"> §§49-58; </w:t>
      </w:r>
      <w:proofErr w:type="spellStart"/>
      <w:r w:rsidRPr="00AE7BC3">
        <w:rPr>
          <w:rFonts w:eastAsia="Times New Roman" w:cs="Times New Roman"/>
          <w:szCs w:val="24"/>
          <w:lang w:val="tr-TR"/>
        </w:rPr>
        <w:t>Bobek</w:t>
      </w:r>
      <w:proofErr w:type="spellEnd"/>
      <w:r w:rsidRPr="00AE7BC3">
        <w:rPr>
          <w:rFonts w:eastAsia="Times New Roman" w:cs="Times New Roman"/>
          <w:szCs w:val="24"/>
          <w:lang w:val="tr-TR"/>
        </w:rPr>
        <w:t xml:space="preserve"> §54), hapis cezası içermeyen 10 yıllık kamu görevinden men yaptırımlarını dahi, isnadın mahiyeti, damgalama etkisi ve yaptırımın ağırlığı nedeniyle cezai nitelikte saymış ve adil yargılanma hakkının ihlal edildiğine karar vermiştir. Türkiye’deki uygulama, daha da ağırdır: OHAL KHK’leri doğrudan suç isnadı içeren ifadelerle başvurucuyu kamuoyu önünde “terör örgütü mensubu” olarak damgalamış, ömür boyu kamu hizmetinden men ve özel sektörde fiilen çalışma yasağı sonucunu doğurmuştur. Üstelik Anayasa </w:t>
      </w:r>
      <w:r w:rsidRPr="00AE7BC3">
        <w:rPr>
          <w:rFonts w:eastAsia="Times New Roman" w:cs="Times New Roman"/>
          <w:szCs w:val="24"/>
          <w:lang w:val="tr-TR"/>
        </w:rPr>
        <w:lastRenderedPageBreak/>
        <w:t>Mahkemesi (AYM) de “üyelik/mensubiyet” ibaresinin masumiyet karinesini ihlal ettiğini tespit etmiştir (E:2018/81, 24.06.2021). Bu koşullar altında, başvurucuya uygulanan tedbirin Engel kriterleri uyarınca cezai nitelik taşıdığı açıktır ve AİHS m.6’nın tüm güvencelerinin uygulanması zorunludur.</w:t>
      </w:r>
    </w:p>
    <w:p w14:paraId="4277B4D6" w14:textId="77777777" w:rsidR="00AE7BC3" w:rsidRPr="00AE7BC3" w:rsidRDefault="00AE7BC3" w:rsidP="00AE7BC3">
      <w:pPr>
        <w:pStyle w:val="Heading2"/>
        <w:rPr>
          <w:rFonts w:cs="Times New Roman"/>
          <w:szCs w:val="24"/>
        </w:rPr>
      </w:pPr>
      <w:r w:rsidRPr="00AE7BC3">
        <w:rPr>
          <w:rFonts w:cs="Times New Roman"/>
          <w:szCs w:val="24"/>
        </w:rPr>
        <w:t xml:space="preserve">AİHS m.6 § </w:t>
      </w:r>
      <w:proofErr w:type="gramStart"/>
      <w:r w:rsidRPr="00AE7BC3">
        <w:rPr>
          <w:rFonts w:cs="Times New Roman"/>
          <w:szCs w:val="24"/>
        </w:rPr>
        <w:t>1 -</w:t>
      </w:r>
      <w:proofErr w:type="gramEnd"/>
      <w:r w:rsidRPr="00AE7BC3">
        <w:rPr>
          <w:rFonts w:cs="Times New Roman"/>
          <w:szCs w:val="24"/>
        </w:rPr>
        <w:t xml:space="preserve"> Bağımsız ve tarafsız mahkemede yargılanma hakkı ihlal edilmiştir.</w:t>
      </w:r>
    </w:p>
    <w:p w14:paraId="05613AAE" w14:textId="77777777" w:rsidR="00AE7BC3" w:rsidRPr="00AE7BC3" w:rsidRDefault="00AE7BC3" w:rsidP="00AE7BC3">
      <w:pPr>
        <w:pStyle w:val="ListParagraph"/>
        <w:numPr>
          <w:ilvl w:val="0"/>
          <w:numId w:val="1"/>
        </w:numPr>
        <w:tabs>
          <w:tab w:val="left" w:pos="284"/>
        </w:tabs>
        <w:spacing w:before="0" w:after="0" w:line="360" w:lineRule="auto"/>
        <w:ind w:left="0" w:firstLine="0"/>
        <w:rPr>
          <w:rFonts w:cs="Times New Roman"/>
          <w:szCs w:val="24"/>
          <w:lang w:val="tr-TR"/>
        </w:rPr>
      </w:pPr>
      <w:r w:rsidRPr="00AE7BC3">
        <w:rPr>
          <w:rFonts w:cs="Times New Roman"/>
          <w:szCs w:val="24"/>
          <w:lang w:val="tr-TR"/>
        </w:rPr>
        <w:t>Türkiye’de yargı bağımsızlığı ve tarafsızlığı özellikle 15 Temmuz 2016 darbe girişimi öncesi ve sonrasında, bu ilke ciddi biçimde zedelenmiştir. İdari yargının en üst organı olan Danıştay, özellikle meslekten çıkarılma davalarının temyiz incelemesini yapan 5. Dairesi, bu dönemde yürütmenin etkisi altında yeniden yapılandırılmıştır. 2014 yılında Hakimler ve Savcılar Yüksek Kurulu (HS(Y)K) seçimlerini iktidar tarafından desteklenen Yargıda Birlik Platformu’nun (YBP) kazanmasıyla yüksek yargı üyeliklerinde objektif kriterler yerine siyasi sadakat esas alınmış, bu durum Avrupa Komisyonu raporlarına da yansımış ve yüksek mahkemelerin yürütmenin araçları haline geldiği yönünde ciddi kaygılar dile getirilmiştir (Örneğin bkz. 2016 İlerleme Raporu).</w:t>
      </w:r>
      <w:r w:rsidRPr="00AE7BC3">
        <w:rPr>
          <w:rStyle w:val="FootnoteReference"/>
          <w:rFonts w:cs="Times New Roman"/>
          <w:szCs w:val="24"/>
          <w:lang w:val="tr-TR"/>
        </w:rPr>
        <w:footnoteReference w:id="1"/>
      </w:r>
      <w:r w:rsidRPr="00AE7BC3">
        <w:rPr>
          <w:rFonts w:cs="Times New Roman"/>
          <w:szCs w:val="24"/>
          <w:lang w:val="tr-TR"/>
        </w:rPr>
        <w:t xml:space="preserve"> Liyakat yerine iktidara yakınlık ve “Gülen Hareketi’ne karşı mücadele” gibi siyasi ölçütlerin belirleyici hale gelmesi, yargı bağımsızlığını temelden sarsmış ve Danıştay’ın tarafsızlığına dair objektif kuşkular doğurmuştur.</w:t>
      </w:r>
    </w:p>
    <w:p w14:paraId="7E14DCE1" w14:textId="77777777" w:rsidR="00AE7BC3" w:rsidRPr="00AE7BC3" w:rsidRDefault="00AE7BC3" w:rsidP="00AE7BC3">
      <w:pPr>
        <w:pStyle w:val="ListParagraph"/>
        <w:numPr>
          <w:ilvl w:val="0"/>
          <w:numId w:val="1"/>
        </w:numPr>
        <w:tabs>
          <w:tab w:val="left" w:pos="284"/>
        </w:tabs>
        <w:spacing w:before="0" w:after="0" w:line="360" w:lineRule="auto"/>
        <w:ind w:left="0" w:firstLine="0"/>
        <w:rPr>
          <w:rFonts w:cs="Times New Roman"/>
          <w:szCs w:val="24"/>
          <w:lang w:val="tr-TR"/>
        </w:rPr>
      </w:pPr>
      <w:r w:rsidRPr="00AE7BC3">
        <w:rPr>
          <w:rFonts w:cs="Times New Roman"/>
          <w:szCs w:val="24"/>
          <w:lang w:val="tr-TR"/>
        </w:rPr>
        <w:t xml:space="preserve">12 Aralık 2014 tarihli 6572 sayılı Yasa ile Danıştay’da yeni daireler oluşturulup iş bölümü yeniden düzenlenmiş, hemen ardından </w:t>
      </w:r>
      <w:proofErr w:type="gramStart"/>
      <w:r w:rsidRPr="00AE7BC3">
        <w:rPr>
          <w:rFonts w:cs="Times New Roman"/>
          <w:szCs w:val="24"/>
          <w:lang w:val="tr-TR"/>
        </w:rPr>
        <w:t>HS(</w:t>
      </w:r>
      <w:proofErr w:type="gramEnd"/>
      <w:r w:rsidRPr="00AE7BC3">
        <w:rPr>
          <w:rFonts w:cs="Times New Roman"/>
          <w:szCs w:val="24"/>
          <w:lang w:val="tr-TR"/>
        </w:rPr>
        <w:t xml:space="preserve">Y)K tarafından çoğunluğu YBP üyesi 33 yeni üye seçilmiştir. Anayasa ve Danıştay Kanunu gereği üyelerin </w:t>
      </w:r>
      <w:r w:rsidRPr="00AE7BC3">
        <w:rPr>
          <w:rFonts w:cs="Times New Roman"/>
          <w:szCs w:val="24"/>
          <w:lang w:val="tr-TR"/>
        </w:rPr>
        <w:lastRenderedPageBreak/>
        <w:t xml:space="preserve">dörtte birini doğrudan atama yetkisine sahip olan Cumhurbaşkanı, bu süreçte yürütmeye bağlı görev yapan ve hatta bazıları hukukçu olmayan 9 bürokratı Danıştay üyesi olarak atamıştır. Üyelerin dörtte üçünün yürütme kontrolündeki </w:t>
      </w:r>
      <w:proofErr w:type="gramStart"/>
      <w:r w:rsidRPr="00AE7BC3">
        <w:rPr>
          <w:rFonts w:cs="Times New Roman"/>
          <w:szCs w:val="24"/>
          <w:lang w:val="tr-TR"/>
        </w:rPr>
        <w:t>HS(</w:t>
      </w:r>
      <w:proofErr w:type="gramEnd"/>
      <w:r w:rsidRPr="00AE7BC3">
        <w:rPr>
          <w:rFonts w:cs="Times New Roman"/>
          <w:szCs w:val="24"/>
          <w:lang w:val="tr-TR"/>
        </w:rPr>
        <w:t>Y)K, kalanının da partili Cumhurbaşkanı tarafından belirlenmesi, Danıştay’ın bağımsız bir mahkeme olma niteliğini fiilen ortadan kaldırmıştır.</w:t>
      </w:r>
    </w:p>
    <w:p w14:paraId="016AA25F" w14:textId="77777777" w:rsidR="00AE7BC3" w:rsidRPr="00AE7BC3" w:rsidRDefault="00AE7BC3" w:rsidP="00AE7BC3">
      <w:pPr>
        <w:pStyle w:val="ListParagraph"/>
        <w:numPr>
          <w:ilvl w:val="0"/>
          <w:numId w:val="1"/>
        </w:numPr>
        <w:tabs>
          <w:tab w:val="left" w:pos="284"/>
        </w:tabs>
        <w:spacing w:before="0" w:after="0" w:line="360" w:lineRule="auto"/>
        <w:ind w:left="0" w:firstLine="0"/>
        <w:rPr>
          <w:rFonts w:cs="Times New Roman"/>
          <w:szCs w:val="24"/>
          <w:lang w:val="tr-TR"/>
        </w:rPr>
      </w:pPr>
      <w:r w:rsidRPr="00AE7BC3">
        <w:rPr>
          <w:rFonts w:cs="Times New Roman"/>
          <w:szCs w:val="24"/>
          <w:lang w:val="tr-TR"/>
        </w:rPr>
        <w:t xml:space="preserve">15 Temmuz darbe girişiminin ertesi günü, Anayasa ve yasaların öngördüğü güvenceler yok sayılarak 48 Danıştay, 140 Yargıtay ve 2 AYM üyesi gözaltına alınıp tutuklanmıştır. Darbenin hemen ardından ilan edilen OHAL döneminde, 23 Temmuz 2016 tarihli 6723 sayılı Kanun ile Danıştay’ın üye sayısı 195’ten 116’ya düşürülmüş, mevcut üyelerin görevleri sona erdirilmiş, ardından </w:t>
      </w:r>
      <w:proofErr w:type="gramStart"/>
      <w:r w:rsidRPr="00AE7BC3">
        <w:rPr>
          <w:rFonts w:cs="Times New Roman"/>
          <w:szCs w:val="24"/>
          <w:lang w:val="tr-TR"/>
        </w:rPr>
        <w:t>HS(</w:t>
      </w:r>
      <w:proofErr w:type="gramEnd"/>
      <w:r w:rsidRPr="00AE7BC3">
        <w:rPr>
          <w:rFonts w:cs="Times New Roman"/>
          <w:szCs w:val="24"/>
          <w:lang w:val="tr-TR"/>
        </w:rPr>
        <w:t>Y)K tarafından 75 yeni üye seçilerek Danıştay’ın yapısı tamamen değiştirilmiştir. Bu tasfiye, hâkimlik teminatı olan görev süresi güvencesini yok etmiş, YBP çizgisindeki HS(Y)</w:t>
      </w:r>
      <w:proofErr w:type="spellStart"/>
      <w:r w:rsidRPr="00AE7BC3">
        <w:rPr>
          <w:rFonts w:cs="Times New Roman"/>
          <w:szCs w:val="24"/>
          <w:lang w:val="tr-TR"/>
        </w:rPr>
        <w:t>K’nın</w:t>
      </w:r>
      <w:proofErr w:type="spellEnd"/>
      <w:r w:rsidRPr="00AE7BC3">
        <w:rPr>
          <w:rFonts w:cs="Times New Roman"/>
          <w:szCs w:val="24"/>
          <w:lang w:val="tr-TR"/>
        </w:rPr>
        <w:t xml:space="preserve"> belirlediği üyelerle Danıştay siyasi iktidarın denetimine girmiştir.</w:t>
      </w:r>
    </w:p>
    <w:p w14:paraId="72E3C916" w14:textId="77777777" w:rsidR="00AE7BC3" w:rsidRPr="00AE7BC3" w:rsidRDefault="00AE7BC3" w:rsidP="00AE7BC3">
      <w:pPr>
        <w:pStyle w:val="ListParagraph"/>
        <w:numPr>
          <w:ilvl w:val="0"/>
          <w:numId w:val="1"/>
        </w:numPr>
        <w:tabs>
          <w:tab w:val="left" w:pos="284"/>
        </w:tabs>
        <w:spacing w:before="0" w:after="0" w:line="360" w:lineRule="auto"/>
        <w:ind w:left="0" w:firstLine="0"/>
        <w:rPr>
          <w:rFonts w:cs="Times New Roman"/>
          <w:szCs w:val="24"/>
          <w:lang w:val="tr-TR"/>
        </w:rPr>
      </w:pPr>
      <w:r w:rsidRPr="00AE7BC3">
        <w:rPr>
          <w:rFonts w:cs="Times New Roman"/>
          <w:szCs w:val="24"/>
          <w:lang w:val="tr-TR"/>
        </w:rPr>
        <w:t xml:space="preserve">2017 Anayasa değişikliğiyle Cumhurbaşkanlığı Hükümet Sistemi’ne geçilmiş, yürütme yetkisi tamamen Cumhurbaşkanı’nda toplanmıştır. Bakanlar Kurulu kaldırılmış, böylece Danıştay artık doğrudan Cumhurbaşkanı kararlarını ilk derece mahkemesi olarak inceleyen merci haline gelmiştir. </w:t>
      </w:r>
      <w:proofErr w:type="gramStart"/>
      <w:r w:rsidRPr="00AE7BC3">
        <w:rPr>
          <w:rFonts w:cs="Times New Roman"/>
          <w:szCs w:val="24"/>
          <w:lang w:val="tr-TR"/>
        </w:rPr>
        <w:t>HS(</w:t>
      </w:r>
      <w:proofErr w:type="gramEnd"/>
      <w:r w:rsidRPr="00AE7BC3">
        <w:rPr>
          <w:rFonts w:cs="Times New Roman"/>
          <w:szCs w:val="24"/>
          <w:lang w:val="tr-TR"/>
        </w:rPr>
        <w:t xml:space="preserve">Y)K, Hakimler ve Savcılar Kurulu (HSK) adını alarak yapısı kökten değiştirilmiştir. Üyelerinin altısının TBMM, yedisinin Cumhurbaşkanı tarafından seçileceği, Adalet Bakanı ve Müsteşarının doğal üye olacağı düzenlenmiştir. Böylece HSK, tamamen yürütme ve yasama çoğunluğunun kontrolüne bırakılmış; Danıştay üyelerinin seçiminde siyasi iktidar tartışmasız belirleyici hale getirilmiştir. Anayasa’da Danıştay üyelerinin üçte dördünün HSK, dörtte birinin Cumhurbaşkanı tarafından seçileceği hükmü (m. 155) korunmuş görünse de </w:t>
      </w:r>
      <w:proofErr w:type="spellStart"/>
      <w:r w:rsidRPr="00AE7BC3">
        <w:rPr>
          <w:rFonts w:cs="Times New Roman"/>
          <w:szCs w:val="24"/>
          <w:lang w:val="tr-TR"/>
        </w:rPr>
        <w:t>HSK’nın</w:t>
      </w:r>
      <w:proofErr w:type="spellEnd"/>
      <w:r w:rsidRPr="00AE7BC3">
        <w:rPr>
          <w:rFonts w:cs="Times New Roman"/>
          <w:szCs w:val="24"/>
          <w:lang w:val="tr-TR"/>
        </w:rPr>
        <w:t xml:space="preserve"> siyasal iktidarca şekillendirilmesi çoğulculuk görüntüsünü ortadan kaldırmıştır. Böylece hem denetlediği makam hem de üyelerini belirleyen makam aynı siyasi otoriteye bağlanmış, kuvvetler ayrılığı ciddi biçimde zedelenmiştir.</w:t>
      </w:r>
    </w:p>
    <w:p w14:paraId="27A64223" w14:textId="77777777" w:rsidR="00AE7BC3" w:rsidRPr="00AE7BC3" w:rsidRDefault="00AE7BC3" w:rsidP="00AE7BC3">
      <w:pPr>
        <w:pStyle w:val="ListParagraph"/>
        <w:numPr>
          <w:ilvl w:val="0"/>
          <w:numId w:val="1"/>
        </w:numPr>
        <w:tabs>
          <w:tab w:val="left" w:pos="284"/>
        </w:tabs>
        <w:spacing w:before="0" w:after="0" w:line="360" w:lineRule="auto"/>
        <w:ind w:left="0" w:firstLine="0"/>
        <w:rPr>
          <w:rFonts w:cs="Times New Roman"/>
          <w:szCs w:val="24"/>
          <w:lang w:val="tr-TR"/>
        </w:rPr>
      </w:pPr>
      <w:r w:rsidRPr="00AE7BC3">
        <w:rPr>
          <w:rFonts w:cs="Times New Roman"/>
          <w:szCs w:val="24"/>
          <w:lang w:val="tr-TR"/>
        </w:rPr>
        <w:t xml:space="preserve">Üstelik, hükümet politikalarıyla uyumlu kararlar vermeyen çok sayıda hâkim ve savcının </w:t>
      </w:r>
      <w:proofErr w:type="gramStart"/>
      <w:r w:rsidRPr="00AE7BC3">
        <w:rPr>
          <w:rFonts w:cs="Times New Roman"/>
          <w:szCs w:val="24"/>
          <w:lang w:val="tr-TR"/>
        </w:rPr>
        <w:t>HS(</w:t>
      </w:r>
      <w:proofErr w:type="gramEnd"/>
      <w:r w:rsidRPr="00AE7BC3">
        <w:rPr>
          <w:rFonts w:cs="Times New Roman"/>
          <w:szCs w:val="24"/>
          <w:lang w:val="tr-TR"/>
        </w:rPr>
        <w:t xml:space="preserve">Y)K tarafından görevlerinden alınarak pasif görevlere atanması veya sürgün edilmesi, ayrıca olağanüstü hâl döneminde çıkarılan KHK’larda yer alan “iltisak” ve “irtibat” gibi muğlak ve öngörülemez kavramlar aracılığıyla hâkim ve savcıların denetimsiz ve keyfî biçimde meslekten çıkarılabilmesi, yargı </w:t>
      </w:r>
      <w:r w:rsidRPr="00AE7BC3">
        <w:rPr>
          <w:rFonts w:cs="Times New Roman"/>
          <w:szCs w:val="24"/>
          <w:lang w:val="tr-TR"/>
        </w:rPr>
        <w:lastRenderedPageBreak/>
        <w:t>bağımsızlığını daha da zayıflatmıştır. HSYK’nın bu yönde sürekli faaliyette bulunduğuna ilişkin basında çıkan haberler ve KHK’larla sağlanan “sorumluluk zırhı” altında bu yetkilerini kullanması, başvurucu dâhil benzer davalarda karar veren hâkimler üzerinde ciddi bir baskı ve caydırıcı etki oluşturmuştur. Ayrıca Avrupa Konseyi Yolsuzluğa Karşı Devletler Grubu (GRECO) da Türkiye’de yargı bağımsızlığının yapısal güvencelerden yoksun olduğunu vurgulayarak, HS(Y)</w:t>
      </w:r>
      <w:proofErr w:type="spellStart"/>
      <w:r w:rsidRPr="00AE7BC3">
        <w:rPr>
          <w:rFonts w:cs="Times New Roman"/>
          <w:szCs w:val="24"/>
          <w:lang w:val="tr-TR"/>
        </w:rPr>
        <w:t>K’nın</w:t>
      </w:r>
      <w:proofErr w:type="spellEnd"/>
      <w:r w:rsidRPr="00AE7BC3">
        <w:rPr>
          <w:rFonts w:cs="Times New Roman"/>
          <w:szCs w:val="24"/>
          <w:lang w:val="tr-TR"/>
        </w:rPr>
        <w:t xml:space="preserve"> tüm üyelerinin Cumhurbaşkanı ve Parlamento tarafından atanmasının ve hâkim/savcıların kendi temsilcilerini seçememesinin Avrupa standartlarıyla bağdaşmadığını belirtmiştir. GRECO raporunda ayrıca yürütmenin hâkim ve savcıların seçimi, atanması, istem dışı yer değiştirmeleri, disiplin işlemleri ve meslek içi eğitim süreçleri üzerinde güçlü bir etkisini sürdürdüğü ifade edilmiştir. Bu koşullar altında, başvurucunun meslekten çıkarılmasına ilişkin davaya bakan mahkemeler bağımsız ve tarafsız bir yargı mercii olarak değerlendirilemez.</w:t>
      </w:r>
    </w:p>
    <w:p w14:paraId="3044025F" w14:textId="77777777" w:rsidR="00AE7BC3" w:rsidRPr="00AE7BC3" w:rsidRDefault="00AE7BC3" w:rsidP="00AE7BC3">
      <w:pPr>
        <w:pStyle w:val="ListParagraph"/>
        <w:numPr>
          <w:ilvl w:val="0"/>
          <w:numId w:val="1"/>
        </w:numPr>
        <w:tabs>
          <w:tab w:val="left" w:pos="284"/>
        </w:tabs>
        <w:spacing w:before="0" w:after="0" w:line="360" w:lineRule="auto"/>
        <w:ind w:left="0" w:firstLine="0"/>
        <w:rPr>
          <w:rFonts w:cs="Times New Roman"/>
          <w:szCs w:val="24"/>
          <w:lang w:val="tr-TR"/>
        </w:rPr>
      </w:pPr>
      <w:r w:rsidRPr="00AE7BC3">
        <w:rPr>
          <w:rFonts w:cs="Times New Roman"/>
          <w:szCs w:val="24"/>
          <w:lang w:val="tr-TR"/>
        </w:rPr>
        <w:t>Öte yandan, 24 Temmuz 2017 tarihli 696 sayılı OHAL KHK’sıyla Danıştay’a 12 yeni üyelik kadrosu ihdas edilmiş, seçimler 16 Temmuz 2018’de yapılmıştır. HSK kriterleri açıklamasa da Anadolu Ajansı, seçilenlerin çoğunun “FETÖ ile mücadelede görev almış” isimlerden oluştuğunu duyurmuş, hatta bazı üyelerin baktıkları davaları örnek göstermiştir.</w:t>
      </w:r>
      <w:r w:rsidRPr="00AE7BC3">
        <w:rPr>
          <w:rStyle w:val="FootnoteReference"/>
          <w:rFonts w:cs="Times New Roman"/>
          <w:szCs w:val="24"/>
          <w:lang w:val="tr-TR"/>
        </w:rPr>
        <w:footnoteReference w:id="2"/>
      </w:r>
      <w:r w:rsidRPr="00AE7BC3">
        <w:rPr>
          <w:rFonts w:cs="Times New Roman"/>
          <w:szCs w:val="24"/>
          <w:lang w:val="tr-TR"/>
        </w:rPr>
        <w:t xml:space="preserve"> Bu durum, Danıştay üyeliklerinde liyakat yerine yürütmenin politik tercihleri doğrultusunda belirlemelerin yapıldığını açıkça ortaya koymaktadır.</w:t>
      </w:r>
    </w:p>
    <w:p w14:paraId="3C1BBF31"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 xml:space="preserve">Hem siyasi iktidara yakın üye profili hem verdiği kararlar hem de üyelerin yaptıkları açıklamalar Danıştay 5. Dairesinin objektif tarafsızlık görünümünü ortadan kaldırmıştır. Örneğin, Yunus </w:t>
      </w:r>
      <w:proofErr w:type="spellStart"/>
      <w:r w:rsidRPr="00AE7BC3">
        <w:rPr>
          <w:rFonts w:cs="Times New Roman"/>
          <w:szCs w:val="24"/>
          <w:lang w:val="tr-TR"/>
        </w:rPr>
        <w:t>Aykın</w:t>
      </w:r>
      <w:proofErr w:type="spellEnd"/>
      <w:r w:rsidRPr="00AE7BC3">
        <w:rPr>
          <w:rFonts w:cs="Times New Roman"/>
          <w:szCs w:val="24"/>
          <w:lang w:val="tr-TR"/>
        </w:rPr>
        <w:t xml:space="preserve"> darbeden aylar sonra yaptığı konuşmalarda “doğru liderlik” ve “ülkenin beka sorunu” gibi siyasi söylemlerle tarafsızlığı konusunda ciddi kuşkular uyandırmıştır.</w:t>
      </w:r>
      <w:r w:rsidRPr="00AE7BC3">
        <w:rPr>
          <w:rStyle w:val="FootnoteReference"/>
          <w:rFonts w:cs="Times New Roman"/>
          <w:szCs w:val="24"/>
          <w:lang w:val="tr-TR"/>
        </w:rPr>
        <w:footnoteReference w:id="3"/>
      </w:r>
      <w:r w:rsidRPr="00AE7BC3">
        <w:rPr>
          <w:rFonts w:cs="Times New Roman"/>
          <w:szCs w:val="24"/>
          <w:lang w:val="tr-TR"/>
        </w:rPr>
        <w:t xml:space="preserve"> Cumhurbaşkanı tarafından atanan ve hukukçu olmayan İsmail Kalender ile daha önce AKP’den milletvekili aday adayı olan Cevdet Malkoç’un üyelikleri de bağımsızlık ve tarafsızlık sorununa dair endişeleri derinleştirmiştir. Benzer şekilde, Adalet Bakanlığı Müsteşar Yardımcısı ve YBP Başkanı iken Danıştay’a seçilen Musa Heybet, 2017-2018 yıllarında yaptığı açıklamalarda açıkça “FETÖ ile mücadele”, “darbe yargılamaları”, “milli irade” ve “tasfiyelerle gelen huzur” gibi ifadeler kullanmıştır. </w:t>
      </w:r>
      <w:r w:rsidRPr="00AE7BC3">
        <w:rPr>
          <w:rFonts w:cs="Times New Roman"/>
          <w:szCs w:val="24"/>
          <w:lang w:val="tr-TR"/>
        </w:rPr>
        <w:lastRenderedPageBreak/>
        <w:t>Bu söylemler, davalara ön yargılı yaklaşımın ve yürütmenin söylemleriyle paralel hareket ettiğinin göstergesi olmuştur.</w:t>
      </w:r>
      <w:r w:rsidRPr="00AE7BC3">
        <w:rPr>
          <w:rStyle w:val="FootnoteReference"/>
          <w:rFonts w:cs="Times New Roman"/>
          <w:szCs w:val="24"/>
          <w:lang w:val="tr-TR"/>
        </w:rPr>
        <w:footnoteReference w:id="4"/>
      </w:r>
      <w:r w:rsidRPr="00AE7BC3">
        <w:rPr>
          <w:rFonts w:cs="Times New Roman"/>
          <w:szCs w:val="24"/>
          <w:lang w:val="tr-TR"/>
        </w:rPr>
        <w:t xml:space="preserve"> Görüldüğü üzere, 5. Daire üyelerinin bizzat kendi beyanları, tarafsızlıkları konusunda haklı şüphelere yol açmıştır.</w:t>
      </w:r>
    </w:p>
    <w:p w14:paraId="0F829BFC"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Danıştay’ın tarafsız olmadığına dair somut örneklerden biri de hükümete yakın Sabah gazetesinin 450 yargı mensubunun Danıştay 5. Dairesi tarafından göreve iade edildiği ve HSK itirazlarının İdari Dava Daireleri Kurulu’nda (İDDK) gündeme alınmadığı yönündeki haberidir.</w:t>
      </w:r>
      <w:r w:rsidRPr="00AE7BC3">
        <w:rPr>
          <w:rStyle w:val="FootnoteReference"/>
          <w:rFonts w:cs="Times New Roman"/>
          <w:szCs w:val="24"/>
          <w:lang w:val="tr-TR"/>
        </w:rPr>
        <w:footnoteReference w:id="5"/>
      </w:r>
      <w:r w:rsidRPr="00AE7BC3">
        <w:rPr>
          <w:rFonts w:cs="Times New Roman"/>
          <w:szCs w:val="24"/>
          <w:lang w:val="tr-TR"/>
        </w:rPr>
        <w:t xml:space="preserve"> Bu haber üzerine Cumhurbaşkanı Erdoğan, Danıştay’ın kararlarına tepki göstermiş ve sürecin takipçisi olacaklarını açıklamıştır.</w:t>
      </w:r>
      <w:r w:rsidRPr="00AE7BC3">
        <w:rPr>
          <w:rStyle w:val="FootnoteReference"/>
          <w:rFonts w:cs="Times New Roman"/>
          <w:szCs w:val="24"/>
          <w:lang w:val="tr-TR"/>
        </w:rPr>
        <w:footnoteReference w:id="6"/>
      </w:r>
      <w:r w:rsidRPr="00AE7BC3">
        <w:rPr>
          <w:rFonts w:cs="Times New Roman"/>
          <w:szCs w:val="24"/>
          <w:lang w:val="tr-TR"/>
        </w:rPr>
        <w:t xml:space="preserve"> Tepkinin ardından Danıştay internet sitesinde bir açıklama yayımlayıp kısa süre sonra kaldırmış, HSK ise iade edilen 387 isim hakkında yeniden inceleme başlatmıştır. Bu süreçte, 5. Daire’nin verdiği iade kararlarının büyük çoğunluğu İDDK tarafından bozulmuştur. Bu gelişmeler, yürütmenin baskısıyla hareket eden Danıştay’ın bağımsız ve tarafsız bir merci olmadığını açıkça göstermektedir.</w:t>
      </w:r>
    </w:p>
    <w:p w14:paraId="20A6DC94"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15 Temmuz öncesi ve sonrası verilen kararların karşılaştırılması, Danıştay içtihatlarında köklü bir kırılma olduğunu göstermektedir. 2010-2015 döneminde disiplin hukukunun temel güvenceleri titizlikle uygulanırken, 2016 sonrasında özellikle “FETÖ/PDY ile iltisak ve irtibat” gerekçesiyle ihraç işlemlerinde bu güvenceler tamamıyla terk edilmiştir.</w:t>
      </w:r>
      <w:bookmarkStart w:id="0" w:name="_Hlk209701395"/>
    </w:p>
    <w:p w14:paraId="3C68DEED"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2010-2015 arası</w:t>
      </w:r>
      <w:bookmarkEnd w:id="0"/>
      <w:r w:rsidRPr="00AE7BC3">
        <w:rPr>
          <w:rFonts w:cs="Times New Roman"/>
          <w:szCs w:val="24"/>
          <w:lang w:val="tr-TR"/>
        </w:rPr>
        <w:t xml:space="preserve">nda Danıştay, suçun şahsiliği ilkesine mutlak bağlı kalmış, kamu görevlilerinin eşleri veya yakınlarının fiillerini davacının mesleki sorumluluğuna yansıtmamış; eşin örgütsel bağlantısı gibi durumları delil kabul etmemiştir (Bkz. Danıştay İDDK, E.2013/3683, 09.11.2015). Aynı dönemde, ceza mahkemelerinden verilen beraat kararlarına da bağlayıcılık tanınmış; ceza yargılamasında kişinin suçsuz olduğu kabul edilmişse, idari yargıda bu tespite bağlı kalmıştır. Savunma hakkı da mutlak güvence sayılmış, savunma alınmadan yapılan disiplin veya ihraç işlemleri iptal edilmiştir. Danıştay, savunmanın şekli değil esasa ilişkin bir güvence olduğunu açıkça belirtmiştir (Bkz. Danıştay İDDK, </w:t>
      </w:r>
      <w:r w:rsidRPr="00AE7BC3">
        <w:rPr>
          <w:rFonts w:cs="Times New Roman"/>
          <w:szCs w:val="24"/>
          <w:lang w:val="tr-TR"/>
        </w:rPr>
        <w:lastRenderedPageBreak/>
        <w:t>E.2012/1517). OHAL döneminde ise savunma hakkının “telafi edilebilir” görülmesiyle tamamen zıt bir yaklaşım sergilenmiştir. Ayrıca, bu dönemde delil standardı yüksek tutulmuş, meslekten çıkarma gibi ağır yaptırımlar için “her türlü şüpheden uzak, kesin ve inandırıcı delil” aranmış, söylenti veya soyut kanaatlerle verilen işlemler iptal edilmiştir (Bkz. Danıştay 5. Daire E.2011/4321).</w:t>
      </w:r>
    </w:p>
    <w:p w14:paraId="1E3CF6AD"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2016 sonrası Danıştay içtihatları, meslekten çıkarma işlemlerini disiplin cezası olmaktan çıkarıp “terör örgütleriyle veya milli güvenliğe karşı faaliyetlerde bulunan yapılarla irtibat ve iltisak” gerekçesiyle alınan “nihai sonuç doğuran olağanüstü tedbir” olarak tanımlamıştır (Bkz. Danıştay 5. Daire., E. 2016/8196, 04.10.2016). Bu yaklaşım, önceki dönemdeki yüksek delil standardı ve hak güvencelerinden köklü bir kopuşu temsil etmektedir.</w:t>
      </w:r>
    </w:p>
    <w:p w14:paraId="23D016C1"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Bu dönemde suçun şahsiliği ilkesi de terk edilmiştir. Somut delil bulunmadığı hallerde eşin örgütsel bağlantısı davacıya yüklenmiş, “hayatın olağan akışına göre eşin durumunu bilmesi gerekirdi” gerekçesiyle meslekten çıkarma kararlarına onay verilmiştir (Bkz. Danıştay 5. Daire, E.2017/14956, 27.06.2022). Bu uygulama, yukarıda değinilen eşin fiillerinin davacıya yüklenemeyeceğini vurgulayan içtihatlarla tamamen çelişmektedir. Yine, ceza yargılamasında beraat eden kişiler hakkında Danıştay, beraat kararını bağlayıcı görmemiş; “örgüt evinde kalmak” ve bazı sosyal ilişkileri “iltisak” için yeterli sayarak ihraç kararlarını onamıştır (Bkz. Danıştay 5. Daire, E.2017/7311, 17.10.2022). Böylece beraatin disiplin yargısında fiilin sübut bulmadığını gösterdiği yönündeki önceki yaklaşım terk edilmiştir.</w:t>
      </w:r>
    </w:p>
    <w:p w14:paraId="01059DAB"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Ceza davaları kesinleşmeden de ihraç kararları verilmiş, yalnızca ankesörlü telefon kayıtları, Bank Asya hesap hareketleri veya tanık beyanları “iltisak” için yeterli görülmüştür (Bkz. Danıştay İDDK, E.2022/2527, 04.07.2023). Bu durum, Danıştay’ın ceza ve idare yargısı arasındaki bağı kopardığını ve delil standardını olağanüstü biçimde düşürdüğünü göstermektedir. Ayrıca, beraat kararlarına rağmen, idari yargı açısından “iltisak ve irtibatın” farklı olduğu belirtilerek geçmişte “örgüt evlerinde kalma”, “kod adı kullanma” gibi olgular meslekten çıkarma için yeterli sayılmıştır (Bkz. Danıştay İDDK, E.2022/376, 05.02.2024). Bu yaklaşımla, bağımsız değerlendirme adı altında, beraat kararlarının bağlayıcılığı tamamen ortadan kaldırılmıştır.</w:t>
      </w:r>
    </w:p>
    <w:p w14:paraId="4F7E5B66"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eastAsia="Times New Roman" w:cs="Times New Roman"/>
          <w:szCs w:val="24"/>
          <w:lang w:val="tr-TR"/>
        </w:rPr>
        <w:t xml:space="preserve">AYM, </w:t>
      </w:r>
      <w:r w:rsidRPr="00AE7BC3">
        <w:rPr>
          <w:rFonts w:eastAsia="Times New Roman" w:cs="Times New Roman"/>
          <w:i/>
          <w:iCs/>
          <w:szCs w:val="24"/>
          <w:lang w:val="tr-TR"/>
        </w:rPr>
        <w:t>Yalçınkaya</w:t>
      </w:r>
      <w:r w:rsidRPr="00AE7BC3">
        <w:rPr>
          <w:rFonts w:eastAsia="Times New Roman" w:cs="Times New Roman"/>
          <w:szCs w:val="24"/>
          <w:lang w:val="tr-TR"/>
        </w:rPr>
        <w:t xml:space="preserve"> kararında ve binlerce benzer başvuruda görüldüğü üzere, özellikle Gülen Cemaati ile bağlantısı olan ya da öyle olduğu kabul edilen kişilerin </w:t>
      </w:r>
      <w:r w:rsidRPr="00AE7BC3">
        <w:rPr>
          <w:rFonts w:eastAsia="Times New Roman" w:cs="Times New Roman"/>
          <w:szCs w:val="24"/>
          <w:lang w:val="tr-TR"/>
        </w:rPr>
        <w:lastRenderedPageBreak/>
        <w:t>neredeyse tüm başvurularında açık hak ihlallerini görmezden gelen sistematik bir yaklaşım sergilemiştir. Ayrıca, ihraç işlemine karşı yapılan başvurulara dair kararlarda imzası bulunan üyelerin birçoğu, geçmişte Adalet Bakanlığı ve HS(Y)</w:t>
      </w:r>
      <w:proofErr w:type="spellStart"/>
      <w:r w:rsidRPr="00AE7BC3">
        <w:rPr>
          <w:rFonts w:eastAsia="Times New Roman" w:cs="Times New Roman"/>
          <w:szCs w:val="24"/>
          <w:lang w:val="tr-TR"/>
        </w:rPr>
        <w:t>K’da</w:t>
      </w:r>
      <w:proofErr w:type="spellEnd"/>
      <w:r w:rsidRPr="00AE7BC3">
        <w:rPr>
          <w:rFonts w:eastAsia="Times New Roman" w:cs="Times New Roman"/>
          <w:szCs w:val="24"/>
          <w:lang w:val="tr-TR"/>
        </w:rPr>
        <w:t xml:space="preserve"> yürütmeye bağlı görevlerde bulunmuş, hükümete yakınlıkları ve taraflı açıklamalarıyla bilinen kişilerdir. </w:t>
      </w:r>
      <w:proofErr w:type="spellStart"/>
      <w:r w:rsidRPr="00AE7BC3">
        <w:rPr>
          <w:rFonts w:eastAsia="Times New Roman" w:cs="Times New Roman"/>
          <w:szCs w:val="24"/>
          <w:lang w:val="tr-TR"/>
        </w:rPr>
        <w:t>AİHM’in</w:t>
      </w:r>
      <w:proofErr w:type="spellEnd"/>
      <w:r w:rsidRPr="00AE7BC3">
        <w:rPr>
          <w:rFonts w:eastAsia="Times New Roman" w:cs="Times New Roman"/>
          <w:szCs w:val="24"/>
          <w:lang w:val="tr-TR"/>
        </w:rPr>
        <w:t xml:space="preserve"> bağımsızlık ve tarafsızlık ölçütleri bakımından, AYM üyelerinin çoğunluğunun hükümetle yakın siyasi bağları, tartışmalı terfileri, Gülen Cemaatine ve gerçek/varsayılan mensuplarına yönelik kriminalize edici açıklamaları nesnel tarafsızlığı zedelemektedir. Yargıtay 9. Ceza Dairesi’nin </w:t>
      </w:r>
      <w:r w:rsidRPr="00AE7BC3">
        <w:rPr>
          <w:rFonts w:eastAsia="Times New Roman" w:cs="Times New Roman"/>
          <w:i/>
          <w:iCs/>
          <w:szCs w:val="24"/>
          <w:lang w:val="tr-TR"/>
        </w:rPr>
        <w:t>Birol Erdem</w:t>
      </w:r>
      <w:r w:rsidRPr="00AE7BC3">
        <w:rPr>
          <w:rFonts w:eastAsia="Times New Roman" w:cs="Times New Roman"/>
          <w:szCs w:val="24"/>
          <w:lang w:val="tr-TR"/>
        </w:rPr>
        <w:t xml:space="preserve"> kararında (01/02/2021 tarihli, 2019/11 E. sayılı) belirtildiği üzere, bazı AYM üyeleri Yargıda Birlik Platformu sürecinde hâkim/savcıların fişlenmesinde rol almış, güvenlik temelli politikaları destekleyen beyanlarda bulunmuştur.</w:t>
      </w:r>
      <w:r w:rsidRPr="00AE7BC3">
        <w:rPr>
          <w:rStyle w:val="FootnoteReference"/>
          <w:rFonts w:eastAsia="Times New Roman" w:cs="Times New Roman"/>
          <w:szCs w:val="24"/>
          <w:lang w:val="tr-TR"/>
        </w:rPr>
        <w:footnoteReference w:id="7"/>
      </w:r>
    </w:p>
    <w:p w14:paraId="3D852D53"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Tüm bu değişiklikler ve uygulamalar, başvurucunun bireysel başvuru süreci dahil “kanunla kurulmuş, bağımsız ve tarafsız mahkeme” hakkının açık ihlalini oluşturmaktadır.</w:t>
      </w:r>
    </w:p>
    <w:p w14:paraId="3928A338" w14:textId="77777777" w:rsidR="00AE7BC3" w:rsidRPr="00AE7BC3" w:rsidRDefault="00AE7BC3" w:rsidP="00AE7BC3">
      <w:pPr>
        <w:pStyle w:val="Heading2"/>
        <w:rPr>
          <w:rFonts w:cs="Times New Roman"/>
          <w:szCs w:val="24"/>
        </w:rPr>
      </w:pPr>
      <w:r w:rsidRPr="00AE7BC3">
        <w:rPr>
          <w:rFonts w:cs="Times New Roman"/>
          <w:szCs w:val="24"/>
        </w:rPr>
        <w:t xml:space="preserve">AİHS </w:t>
      </w:r>
      <w:proofErr w:type="gramStart"/>
      <w:r w:rsidRPr="00AE7BC3">
        <w:rPr>
          <w:rFonts w:cs="Times New Roman"/>
          <w:szCs w:val="24"/>
        </w:rPr>
        <w:t>m.6 -</w:t>
      </w:r>
      <w:proofErr w:type="gramEnd"/>
      <w:r w:rsidRPr="00AE7BC3">
        <w:rPr>
          <w:rFonts w:cs="Times New Roman"/>
          <w:szCs w:val="24"/>
        </w:rPr>
        <w:t xml:space="preserve"> Adil yargılanma hakkı ihlal edilmiştir.</w:t>
      </w:r>
    </w:p>
    <w:p w14:paraId="670A5B8E"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 xml:space="preserve">Anayasa’nın 129. maddesi gereğince </w:t>
      </w:r>
      <w:r w:rsidRPr="00AE7BC3">
        <w:rPr>
          <w:rFonts w:cs="Times New Roman"/>
          <w:i/>
          <w:iCs/>
          <w:szCs w:val="24"/>
          <w:lang w:val="tr-TR"/>
        </w:rPr>
        <w:t>"Memurlar ve diğer kamu görevlileri ile kamu kurumu niteliğindeki meslek kuruluşları ve bunların üst kuruluşları mensuplarına savunma hakkı tanınmadıkça disiplin cezası verilemez."</w:t>
      </w:r>
      <w:r w:rsidRPr="00AE7BC3">
        <w:rPr>
          <w:rFonts w:cs="Times New Roman"/>
          <w:szCs w:val="24"/>
          <w:lang w:val="tr-TR"/>
        </w:rPr>
        <w:t xml:space="preserve"> Buna karşın başvurucu, savunma hakkı tanınmaksızın ve meslekten çıkarma işleminde dair diğer usulü güvencelerin hiçbirine uyulmaksızın OHAL KHK’sına ekli listeye isminin eklenmesi suretiyle ihraç edilmiştir. Bu en ağır idari yaptırıma karşı yürütülen yargısal süreç de sonuçsuz kalmış, ilk derece mahkemesi ve istinaf/temyiz mercileri, gerekli inceleme ve değerlendirmeyi yapmaksızın, gerekçesiz şekilde davanın/istinaf/temyiz isteminin reddine karar vermişlerdir.</w:t>
      </w:r>
    </w:p>
    <w:p w14:paraId="136749FB"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 xml:space="preserve">Diğer taraftan, ByLock verisinin elde edilmesi ve saklanması aşamasında, adli bilişimin temel kurallarına (veri bütünlüğünün korunması, elde edildikten sonra zincirleme muhafaza, doğrulanabilirlik) uyulmamıştır. MİT’in bu verilerin “özel yollarla” elde edildiğine dair açıklaması, verinin kaynağı ve bütünlüğü üzerinde haklı ve şu ana kadar giderilemeyen bir şüphe doğurmuştur. Bu durumda güvenilir </w:t>
      </w:r>
      <w:r w:rsidRPr="00AE7BC3">
        <w:rPr>
          <w:rFonts w:cs="Times New Roman"/>
          <w:szCs w:val="24"/>
          <w:lang w:val="tr-TR"/>
        </w:rPr>
        <w:lastRenderedPageBreak/>
        <w:t>ve yargısal denetime elverişli bir delilden söz edilemez. Nitekim Yalçınkaya kararında tespit edildiği üzere, veriler toplandıktan aylar sonra Sulh Ceza Hâkimliğinden karar alınmıştır. Ayrıca dosyalara giren içeriklerin önemli bir kısmının 2019-2020 sonrası ortaya çıkması, sonradan ekleme ve manipülasyon ihtimalini de güçlendirmektedir. Bu şartlarda, ByLock verisinin ihraca (veya herhangi bir yaptırıma) esas alınması mümkün değildir. Kaldı ki CMK m.134 uyarınca hâkim kararı olmadan dijital verilerin elde edilmesi hukuka aykırıdır ve ceza yargılamasında kullanılamaz.</w:t>
      </w:r>
    </w:p>
    <w:p w14:paraId="7C8DCB2A"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 xml:space="preserve">Hukuka aykırı delilin hükme esas alınmaması, yalnız ceza yargısı için değil, disiplin/idari yaptırımlar için de geçerlidir. Anayasa Mahkemesi, Anayasa m.38/6’nın disiplin alanında da geçerli olduğunu açıkça belirtmiştir (Bkz. 04.04.1991 tarihli E.1990/12 sayılı ve 13.07.2016 tarihli </w:t>
      </w:r>
      <w:proofErr w:type="spellStart"/>
      <w:proofErr w:type="gramStart"/>
      <w:r w:rsidRPr="00AE7BC3">
        <w:rPr>
          <w:rFonts w:cs="Times New Roman"/>
          <w:szCs w:val="24"/>
          <w:lang w:val="tr-TR"/>
        </w:rPr>
        <w:t>B.No</w:t>
      </w:r>
      <w:proofErr w:type="spellEnd"/>
      <w:proofErr w:type="gramEnd"/>
      <w:r w:rsidRPr="00AE7BC3">
        <w:rPr>
          <w:rFonts w:cs="Times New Roman"/>
          <w:szCs w:val="24"/>
          <w:lang w:val="tr-TR"/>
        </w:rPr>
        <w:t>: 2014/7738 saylı kararlar). Danıştay 12. Dairesi’nin 30.05.2017 tarihli (E.2016/7260) kararı da disiplin hukukunda “şüpheden sanık yararlanır” ilkesini ve “kesin/inandırıcı delil” gerekliliğini teyit etmektedir.</w:t>
      </w:r>
    </w:p>
    <w:p w14:paraId="66B8182C"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AİHM de 16.02.2021 tarihli Budak/Türkiye (</w:t>
      </w:r>
      <w:proofErr w:type="spellStart"/>
      <w:proofErr w:type="gramStart"/>
      <w:r w:rsidRPr="00AE7BC3">
        <w:rPr>
          <w:rFonts w:cs="Times New Roman"/>
          <w:szCs w:val="24"/>
          <w:lang w:val="tr-TR"/>
        </w:rPr>
        <w:t>B.No</w:t>
      </w:r>
      <w:proofErr w:type="spellEnd"/>
      <w:proofErr w:type="gramEnd"/>
      <w:r w:rsidRPr="00AE7BC3">
        <w:rPr>
          <w:rFonts w:cs="Times New Roman"/>
          <w:szCs w:val="24"/>
          <w:lang w:val="tr-TR"/>
        </w:rPr>
        <w:t>: 69762/12) kararında AİHS m.53 uyarınca ulusal hukukun tanıdığı daha yüksek güvencelere aykırılığın, m.8 ve m.6 bağlamında ihlale yol açabileceğini vurgulamıştır. Ulusal hukuk (Anayasa m.38/6; CMK m.206/2-a, m.217/2, m.289/1-i) açıkken, hâkim kararı olmadan toplanmış ve bütünlüğünün korunduğu ispatlanmamış ByLock verisine dayanılarak tesis edilen ihraç işlemleri, hukuka aykırı delilin dışlanması kuralına aykırıdır. Bu nedenlerle, hâkim kararı olmaksızın elde edilmiş, kaynağı ve bütünlüğü doğrulanmamış ByLock verisi disiplin/ihraç işlemlerinde delil olarak kullanılamaz.</w:t>
      </w:r>
    </w:p>
    <w:p w14:paraId="3F842B06" w14:textId="77777777" w:rsidR="00AE7BC3" w:rsidRPr="00AE7BC3" w:rsidRDefault="00AE7BC3" w:rsidP="00AE7BC3">
      <w:pPr>
        <w:pStyle w:val="Heading2"/>
        <w:rPr>
          <w:rFonts w:cs="Times New Roman"/>
          <w:szCs w:val="24"/>
        </w:rPr>
      </w:pPr>
      <w:r w:rsidRPr="00AE7BC3">
        <w:rPr>
          <w:rFonts w:cs="Times New Roman"/>
          <w:szCs w:val="24"/>
        </w:rPr>
        <w:t>AİHS m.6 §</w:t>
      </w:r>
      <w:proofErr w:type="gramStart"/>
      <w:r w:rsidRPr="00AE7BC3">
        <w:rPr>
          <w:rFonts w:cs="Times New Roman"/>
          <w:szCs w:val="24"/>
        </w:rPr>
        <w:t>2 -</w:t>
      </w:r>
      <w:proofErr w:type="gramEnd"/>
      <w:r w:rsidRPr="00AE7BC3">
        <w:rPr>
          <w:rFonts w:cs="Times New Roman"/>
          <w:szCs w:val="24"/>
        </w:rPr>
        <w:t xml:space="preserve"> Masumiyet karinesi ihlal edilmiştir.</w:t>
      </w:r>
    </w:p>
    <w:p w14:paraId="4C735341"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Başvurucunun ismi, OHAL KHK’sına ekli listede “terör örgütüyle irtibatlı/iltisaklı” olarak yayımlanmıştır. Bu durum, anayasal düzeyde korunan masumiyet karinesini ihlal etmiştir (m.15/2). AYM ise N.E. ve A.S. gibi ana içtihat niteliğindeki kararlarında bu iddiayı incelememiştir (§§ 98-152). Ekli listede yer alan isimler resmi internet sitesinde yayımlanmış, ardından basında yoğun biçimde suçlayıcı haberler yapılmıştır. Kamu makamlarının özen yükümlülüğünü yerine getirmemeleri sonucunda başvurucu, terör örgütü üyeliği isnadıyla kamuoyu önünde zan altında bırakılmıştır.</w:t>
      </w:r>
    </w:p>
    <w:p w14:paraId="7F4DC8CA" w14:textId="77777777" w:rsidR="00AE7BC3" w:rsidRPr="00AE7BC3" w:rsidRDefault="00AE7BC3" w:rsidP="00AE7BC3">
      <w:pPr>
        <w:pStyle w:val="Heading2"/>
        <w:rPr>
          <w:rFonts w:cs="Times New Roman"/>
          <w:szCs w:val="24"/>
        </w:rPr>
      </w:pPr>
      <w:r w:rsidRPr="00AE7BC3">
        <w:rPr>
          <w:rFonts w:cs="Times New Roman"/>
          <w:szCs w:val="24"/>
        </w:rPr>
        <w:lastRenderedPageBreak/>
        <w:t xml:space="preserve">AİHS </w:t>
      </w:r>
      <w:proofErr w:type="gramStart"/>
      <w:r w:rsidRPr="00AE7BC3">
        <w:rPr>
          <w:rFonts w:cs="Times New Roman"/>
          <w:szCs w:val="24"/>
        </w:rPr>
        <w:t>m.7 -</w:t>
      </w:r>
      <w:proofErr w:type="gramEnd"/>
      <w:r w:rsidRPr="00AE7BC3">
        <w:rPr>
          <w:rFonts w:cs="Times New Roman"/>
          <w:szCs w:val="24"/>
        </w:rPr>
        <w:t xml:space="preserve"> Suç ve cezaların kanuniliği ilkesi ihlal edilmiştir.</w:t>
      </w:r>
    </w:p>
    <w:p w14:paraId="661CE7F7"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 xml:space="preserve">AİHS m.7’nin koruduğu “suç ve cezaların kanuniliği” ilkesi, yalnızca ceza kanunlarında yazılı suç tipleriyle sınırlı bir güvence değildir. Devletin bir kimseye isnat ettiği fiilleri, süresiz kamu hizmetinden yasaklama gibi cezalandırıcı nitelikte sonuçlara bağlarken başvuracağı kuralların da erişilebilir, öngörülebilir ve keyfî yoruma kapalı olması gerekir. Kamu görevinden çıkarma işlemleri, idare ve AYM tarafından her ne kadar “idari/olağanüstü tedbir” olarak nitelendirilmiş olsa da mahiyeti (ömür boyu kamu hizmetlerinden men, fiilen özel sektörde çalışamama, kişisel itibara ağır darbe) ve isnadın niteliği (terör örgütü ile bağlantı ya da aidiyet) itibarıyla cezalandırıcı sonuç doğurmaktadır. Bu nedenle, AİHS m.7’nin aradığı nitelikte açık ve belirli bir yasal çerçeve olmaksızın uygulanması hukuken kabul edilemez. </w:t>
      </w:r>
    </w:p>
    <w:p w14:paraId="7DFBCEDC"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OHAL KHK’ları ile Türk hukuk sistemine ilk kez giren “irtibat/iltisak” kavramlarının tanımı yapılmamış; kapsamı, unsurları ve ispat ölçütleri belirlenmemiş; hangi davranışların ne eşikte bu kavramların içine gireceği gösterilmemiştir. MGK kararlarına yapılan atıf da söz konusu boşluğu doldurmamaktadır. İdari mahiyetteki kararlarla, yargısal nitelikte suç ve ceza ihdas edilmesi mümkün değildir. Bu belirsizlik, idareye denetimsiz bir takdir alanı açmış; aynı nitelikteki olguların kişiler arasında seçmeci biçimde “örgüt iltisakı” sayılmasına yol açmıştır. AİHS m.7 uyarınca aleyhe genişletici yorum yasaktır; öngörülebilirliği bulunmayan muğlak ifadelerle kişilere ağır yaptırımlar yüklenmesi hukuken mümkün değildir.</w:t>
      </w:r>
    </w:p>
    <w:p w14:paraId="403BCFD9"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Meslekten ihraç kararı, başvurucunun ihraç edildiği KHK’nın yürürlüğe girdiği tarihten önceki ve o dönem yasal/olağan kabul edilen ilişki ve faaliyetlere dayandırılmıştır. Bir kimsenin, işlendiği tarihte suç sayılmayan ve hatta hukuken güvence altında olan özgürlüklerin kullanımı niteliğindeki davranışları nedeniyle, sonradan ihdas edilen muğlak kavramlar üzerinden kamu görevinden ömür boyu yasaklanma yaptırımına maruz bırakılması, m.7’nin yasallık ve öngörülebilirlik gereklilikleriyle bağdaşmamaktadır.</w:t>
      </w:r>
    </w:p>
    <w:p w14:paraId="51A19079"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 xml:space="preserve">Nitekim AİHM, yakın tarihli çok sayıda içtihadında (örneğin bkz. Yalçınkaya ve Taner Kılıç) “örgüt üyeliği/yardım” suçlamalarında belirlilik, öngörülebilirlik ve kanıtlama ölçütleri bakımından ciddi eksiklikler tespit etmiş; bankacılık işlemleri, eğitim faaliyetleri, dernek üyeliği, gazete aboneliği gibi başlı başına yasal </w:t>
      </w:r>
      <w:r w:rsidRPr="00AE7BC3">
        <w:rPr>
          <w:rFonts w:cs="Times New Roman"/>
          <w:szCs w:val="24"/>
          <w:lang w:val="tr-TR"/>
        </w:rPr>
        <w:lastRenderedPageBreak/>
        <w:t>faaliyetlerin otomatik olarak cezai sorumluluğa bağlanamayacağını vurgulamıştır. Aynı anlayış, idari işlem yoluyla uygulanan ancak cezalandırıcı etkisi tartışmasız olan meslekten çıkarma yaptırımı için de geçerlidir: “ByLock/HTS” iddiasının teknik temellendirme ve tarafsız bilirkişilikten yoksun biçimde kullanılması, “irtibat/</w:t>
      </w:r>
      <w:proofErr w:type="spellStart"/>
      <w:r w:rsidRPr="00AE7BC3">
        <w:rPr>
          <w:rFonts w:cs="Times New Roman"/>
          <w:szCs w:val="24"/>
          <w:lang w:val="tr-TR"/>
        </w:rPr>
        <w:t>iltisak”ın</w:t>
      </w:r>
      <w:proofErr w:type="spellEnd"/>
      <w:r w:rsidRPr="00AE7BC3">
        <w:rPr>
          <w:rFonts w:cs="Times New Roman"/>
          <w:szCs w:val="24"/>
          <w:lang w:val="tr-TR"/>
        </w:rPr>
        <w:t xml:space="preserve"> soyut tanık sözleri veya sosyal çevre bilgileriyle kurulması, grup aidiyeti üzerinden kolektif sorumluluk yüklenmesi, m.7’nin yasallık güvencesiyle bağdaşmamaktadır.</w:t>
      </w:r>
    </w:p>
    <w:p w14:paraId="3E30473A" w14:textId="77777777" w:rsidR="00AE7BC3" w:rsidRPr="00AE7BC3" w:rsidRDefault="00AE7BC3" w:rsidP="00AE7BC3">
      <w:pPr>
        <w:pStyle w:val="Heading2"/>
        <w:rPr>
          <w:rFonts w:cs="Times New Roman"/>
          <w:szCs w:val="24"/>
        </w:rPr>
      </w:pPr>
      <w:r w:rsidRPr="00AE7BC3">
        <w:rPr>
          <w:rFonts w:cs="Times New Roman"/>
          <w:szCs w:val="24"/>
        </w:rPr>
        <w:t xml:space="preserve">AİHS m. </w:t>
      </w:r>
      <w:proofErr w:type="gramStart"/>
      <w:r w:rsidRPr="00AE7BC3">
        <w:rPr>
          <w:rFonts w:cs="Times New Roman"/>
          <w:szCs w:val="24"/>
        </w:rPr>
        <w:t>8 -</w:t>
      </w:r>
      <w:proofErr w:type="gramEnd"/>
      <w:r w:rsidRPr="00AE7BC3">
        <w:rPr>
          <w:rFonts w:cs="Times New Roman"/>
          <w:szCs w:val="24"/>
        </w:rPr>
        <w:t xml:space="preserve"> Özel hayata saygı hakkı ihlal edilmiştir.</w:t>
      </w:r>
    </w:p>
    <w:p w14:paraId="5D294AAB"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Başvurucunun OHAL KHK’sına dayanılarak meslekten çıkarılması, isminin Resmî </w:t>
      </w:r>
      <w:proofErr w:type="spellStart"/>
      <w:r w:rsidRPr="00AE7BC3">
        <w:rPr>
          <w:rFonts w:eastAsia="Times New Roman" w:cs="Times New Roman"/>
          <w:szCs w:val="24"/>
          <w:lang w:val="tr-TR"/>
        </w:rPr>
        <w:t>Gazete’de</w:t>
      </w:r>
      <w:proofErr w:type="spellEnd"/>
      <w:r w:rsidRPr="00AE7BC3">
        <w:rPr>
          <w:rFonts w:eastAsia="Times New Roman" w:cs="Times New Roman"/>
          <w:szCs w:val="24"/>
          <w:lang w:val="tr-TR"/>
        </w:rPr>
        <w:t xml:space="preserve"> yayımlanması ve “fişleme” ile sosyal çevre verilerinin önceden toplanıp kullanılması mesleki, ailevi ve diğer sosyal çevresinde şeref ve itibarını aşırı derecede zedelemiş; mesleki ilişkileri dahil geniş bir kitle ile olan sosyal ilişkilerini yitirmiş; kendisi ve ailesinin maddi refahı üzerinde yıkıcı sonuçlar doğurmuştur.</w:t>
      </w:r>
    </w:p>
    <w:p w14:paraId="142270B8"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Özel hayata müdahalenin </w:t>
      </w:r>
      <w:proofErr w:type="spellStart"/>
      <w:r w:rsidRPr="00AE7BC3">
        <w:rPr>
          <w:rFonts w:eastAsia="Times New Roman" w:cs="Times New Roman"/>
          <w:szCs w:val="24"/>
          <w:lang w:val="tr-TR"/>
        </w:rPr>
        <w:t>AİHS’in</w:t>
      </w:r>
      <w:proofErr w:type="spellEnd"/>
      <w:r w:rsidRPr="00AE7BC3">
        <w:rPr>
          <w:rFonts w:eastAsia="Times New Roman" w:cs="Times New Roman"/>
          <w:szCs w:val="24"/>
          <w:lang w:val="tr-TR"/>
        </w:rPr>
        <w:t xml:space="preserve"> 8. maddesine uygun kabul edilebilmesi için öncelikle bu </w:t>
      </w:r>
      <w:r w:rsidRPr="00AE7BC3">
        <w:rPr>
          <w:rFonts w:eastAsia="Times New Roman" w:cs="Times New Roman"/>
          <w:b/>
          <w:bCs/>
          <w:szCs w:val="24"/>
          <w:lang w:val="tr-TR"/>
        </w:rPr>
        <w:t>müdahalenin “yasayla öngörülmüş” olması</w:t>
      </w:r>
      <w:r w:rsidRPr="00AE7BC3">
        <w:rPr>
          <w:rFonts w:eastAsia="Times New Roman" w:cs="Times New Roman"/>
          <w:szCs w:val="24"/>
          <w:lang w:val="tr-TR"/>
        </w:rPr>
        <w:t xml:space="preserve"> </w:t>
      </w:r>
      <w:r w:rsidRPr="00AE7BC3">
        <w:rPr>
          <w:rFonts w:eastAsia="Times New Roman" w:cs="Times New Roman"/>
          <w:b/>
          <w:bCs/>
          <w:szCs w:val="24"/>
          <w:lang w:val="tr-TR"/>
        </w:rPr>
        <w:t>gerekir</w:t>
      </w:r>
      <w:r w:rsidRPr="00AE7BC3">
        <w:rPr>
          <w:rFonts w:eastAsia="Times New Roman" w:cs="Times New Roman"/>
          <w:szCs w:val="24"/>
          <w:lang w:val="tr-TR"/>
        </w:rPr>
        <w:t xml:space="preserve">. </w:t>
      </w:r>
      <w:proofErr w:type="spellStart"/>
      <w:r w:rsidRPr="00AE7BC3">
        <w:rPr>
          <w:rFonts w:eastAsia="Times New Roman" w:cs="Times New Roman"/>
          <w:szCs w:val="24"/>
          <w:lang w:val="tr-TR"/>
        </w:rPr>
        <w:t>AİHM’e</w:t>
      </w:r>
      <w:proofErr w:type="spellEnd"/>
      <w:r w:rsidRPr="00AE7BC3">
        <w:rPr>
          <w:rFonts w:eastAsia="Times New Roman" w:cs="Times New Roman"/>
          <w:szCs w:val="24"/>
          <w:lang w:val="tr-TR"/>
        </w:rPr>
        <w:t xml:space="preserve"> göre bu şart, yalnızca müdahalenin kanuni bir temelinin bulunmasını değil, aynı zamanda yasanın hukukun üstünlüğüne uygun, erişilebilir ve öngörülebilir olmasını da zorunlu kılar (Özpınar/Türkiye; N.F./İtalya).</w:t>
      </w:r>
    </w:p>
    <w:p w14:paraId="084AFA38"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Kamu görevlilerinin görev güvencesi, demokratik hukuk devletinin ve idarenin tarafsızlığının temel unsurlarından biridir. Hiçbir kamu görevlisi, görev süresi dolmadan veya kanunen öngörülmüş meşru sebepler dışında görevinden alınamaz, emekliliğe sevk edilemez ya da başka bir göreve keyfî biçimde atanamaz. Bu tür işlemler yalnızca kanunda açıkça belirtilen disiplin veya mesleki yetersizlik nedenleri mevcutsa, öngörülen usulü güvencelere riayet edilerek gerçekleştirilebilir.</w:t>
      </w:r>
    </w:p>
    <w:p w14:paraId="3F6DF2BC"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Hukukun üstünlüğü, </w:t>
      </w:r>
      <w:proofErr w:type="spellStart"/>
      <w:r w:rsidRPr="00AE7BC3">
        <w:rPr>
          <w:rFonts w:eastAsia="Times New Roman" w:cs="Times New Roman"/>
          <w:szCs w:val="24"/>
          <w:lang w:val="tr-TR"/>
        </w:rPr>
        <w:t>AİHS’in</w:t>
      </w:r>
      <w:proofErr w:type="spellEnd"/>
      <w:r w:rsidRPr="00AE7BC3">
        <w:rPr>
          <w:rFonts w:eastAsia="Times New Roman" w:cs="Times New Roman"/>
          <w:szCs w:val="24"/>
          <w:lang w:val="tr-TR"/>
        </w:rPr>
        <w:t xml:space="preserve"> tüm hükümlerinin temelinde yer almaktadır. Venedik Komisyonu raporlarında da belirtildiği üzere, genel bir düzenleme gibi formüle edilse de gerçekte belirli kişileri hedef alan yasal düzenlemeler de hukukun üstünlüğü ilkesine aykırı kabul edilmektedir.</w:t>
      </w:r>
    </w:p>
    <w:p w14:paraId="7805FF91"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Öte yandan, temel hakları etkileyen konularda idareye sınırsız ve kontrolsüz takdir yetkisi tanınması hukukun üstünlüğü ilkesine aykırıdır. Dolayısıyla kanun, yetkili makamlara verilen takdir hakkının kapsamını, kullanım biçimini ve meşru </w:t>
      </w:r>
      <w:r w:rsidRPr="00AE7BC3">
        <w:rPr>
          <w:rFonts w:eastAsia="Times New Roman" w:cs="Times New Roman"/>
          <w:szCs w:val="24"/>
          <w:lang w:val="tr-TR"/>
        </w:rPr>
        <w:lastRenderedPageBreak/>
        <w:t>amacını açık biçimde göstermeli, keyfi müdahalelere karşı yeterli güvenceler içermelidir (Al-</w:t>
      </w:r>
      <w:proofErr w:type="spellStart"/>
      <w:r w:rsidRPr="00AE7BC3">
        <w:rPr>
          <w:rFonts w:eastAsia="Times New Roman" w:cs="Times New Roman"/>
          <w:szCs w:val="24"/>
          <w:lang w:val="tr-TR"/>
        </w:rPr>
        <w:t>Nashif</w:t>
      </w:r>
      <w:proofErr w:type="spellEnd"/>
      <w:r w:rsidRPr="00AE7BC3">
        <w:rPr>
          <w:rFonts w:eastAsia="Times New Roman" w:cs="Times New Roman"/>
          <w:szCs w:val="24"/>
          <w:lang w:val="tr-TR"/>
        </w:rPr>
        <w:t xml:space="preserve">/Bulgaristan; </w:t>
      </w:r>
      <w:proofErr w:type="spellStart"/>
      <w:r w:rsidRPr="00AE7BC3">
        <w:rPr>
          <w:rFonts w:eastAsia="Times New Roman" w:cs="Times New Roman"/>
          <w:szCs w:val="24"/>
          <w:lang w:val="tr-TR"/>
        </w:rPr>
        <w:t>Amenn</w:t>
      </w:r>
      <w:proofErr w:type="spellEnd"/>
      <w:r w:rsidRPr="00AE7BC3">
        <w:rPr>
          <w:rFonts w:eastAsia="Times New Roman" w:cs="Times New Roman"/>
          <w:szCs w:val="24"/>
          <w:lang w:val="tr-TR"/>
        </w:rPr>
        <w:t xml:space="preserve">/İsviçre; </w:t>
      </w:r>
      <w:proofErr w:type="spellStart"/>
      <w:r w:rsidRPr="00AE7BC3">
        <w:rPr>
          <w:rFonts w:eastAsia="Times New Roman" w:cs="Times New Roman"/>
          <w:szCs w:val="24"/>
          <w:lang w:val="tr-TR"/>
        </w:rPr>
        <w:t>Rotaru</w:t>
      </w:r>
      <w:proofErr w:type="spellEnd"/>
      <w:r w:rsidRPr="00AE7BC3">
        <w:rPr>
          <w:rFonts w:eastAsia="Times New Roman" w:cs="Times New Roman"/>
          <w:szCs w:val="24"/>
          <w:lang w:val="tr-TR"/>
        </w:rPr>
        <w:t xml:space="preserve">/Romanya; </w:t>
      </w:r>
      <w:proofErr w:type="spellStart"/>
      <w:r w:rsidRPr="00AE7BC3">
        <w:rPr>
          <w:rFonts w:eastAsia="Times New Roman" w:cs="Times New Roman"/>
          <w:szCs w:val="24"/>
          <w:lang w:val="tr-TR"/>
        </w:rPr>
        <w:t>Klass</w:t>
      </w:r>
      <w:proofErr w:type="spellEnd"/>
      <w:r w:rsidRPr="00AE7BC3">
        <w:rPr>
          <w:rFonts w:eastAsia="Times New Roman" w:cs="Times New Roman"/>
          <w:szCs w:val="24"/>
          <w:lang w:val="tr-TR"/>
        </w:rPr>
        <w:t xml:space="preserve"> ve diğerleri/Almanya; </w:t>
      </w:r>
      <w:proofErr w:type="spellStart"/>
      <w:r w:rsidRPr="00AE7BC3">
        <w:rPr>
          <w:rFonts w:eastAsia="Times New Roman" w:cs="Times New Roman"/>
          <w:szCs w:val="24"/>
          <w:lang w:val="tr-TR"/>
        </w:rPr>
        <w:t>Ostrover</w:t>
      </w:r>
      <w:proofErr w:type="spellEnd"/>
      <w:r w:rsidRPr="00AE7BC3">
        <w:rPr>
          <w:rFonts w:eastAsia="Times New Roman" w:cs="Times New Roman"/>
          <w:szCs w:val="24"/>
          <w:lang w:val="tr-TR"/>
        </w:rPr>
        <w:t xml:space="preserve">/Moldova). Ulusal güvenlik söz konusu olduğunda dahi, kanunilik ve hukukun üstünlüğü ilkelerinin gözetilmesi zorunludur. </w:t>
      </w:r>
    </w:p>
    <w:p w14:paraId="192A65C0"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eastAsia="Times New Roman" w:cs="Times New Roman"/>
          <w:szCs w:val="24"/>
          <w:lang w:val="tr-TR"/>
        </w:rPr>
        <w:t xml:space="preserve">Başvurucu, “FETÖ/PDY ile iltisaklı ve irtibatlı” olduğu kabul edilerek OHAL KHK’sının ekinde yayınlanan listeye adının dahil edilmesiyle mesleğinden çıkarılmıştır. Söz konusu KHK’da, takdir yetkisinin kapsamı ve kullanım tarzı gösterilmemekte; idareye dizginsiz, şeffaf olmayan ve kontrolsüz bir yetki verilmektedir. Başvuranın meslekten çıkarılmasının temelini oluşturan KHK düzenleyici işlem görünümlü olsa da </w:t>
      </w:r>
      <w:r w:rsidRPr="00AE7BC3">
        <w:rPr>
          <w:rFonts w:cs="Times New Roman"/>
          <w:szCs w:val="24"/>
          <w:lang w:val="tr-TR"/>
        </w:rPr>
        <w:t xml:space="preserve">genel, soyut, objektif kurallar getirmeyip kişilere özel cezalandırıcı </w:t>
      </w:r>
      <w:proofErr w:type="spellStart"/>
      <w:r w:rsidRPr="00AE7BC3">
        <w:rPr>
          <w:rFonts w:cs="Times New Roman"/>
          <w:szCs w:val="24"/>
          <w:lang w:val="tr-TR"/>
        </w:rPr>
        <w:t>birel</w:t>
      </w:r>
      <w:proofErr w:type="spellEnd"/>
      <w:r w:rsidRPr="00AE7BC3">
        <w:rPr>
          <w:rFonts w:cs="Times New Roman"/>
          <w:szCs w:val="24"/>
          <w:lang w:val="tr-TR"/>
        </w:rPr>
        <w:t xml:space="preserve"> işlem niteliğindedir.</w:t>
      </w:r>
      <w:r w:rsidRPr="00AE7BC3">
        <w:rPr>
          <w:rStyle w:val="FootnoteReference"/>
          <w:rFonts w:cs="Times New Roman"/>
          <w:szCs w:val="24"/>
          <w:lang w:val="tr-TR"/>
        </w:rPr>
        <w:footnoteReference w:id="8"/>
      </w:r>
    </w:p>
    <w:p w14:paraId="0A8E24D6"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Ayrıca,</w:t>
      </w:r>
      <w:r w:rsidRPr="00AE7BC3">
        <w:rPr>
          <w:rFonts w:eastAsia="Times New Roman" w:cs="Times New Roman"/>
          <w:szCs w:val="24"/>
          <w:lang w:val="tr-TR" w:eastAsia="tr-TR"/>
        </w:rPr>
        <w:t xml:space="preserve"> 667 sayılı KHK’nın 9. maddesinde, KHK kapsamında karar alan ve görevleri yerine getiren kişilerin bu görevleri sebebiyle hukuki, idari, mali ve cezai sorumluluklarının da doğmayacağı düzenlenmiştir. Bu madde kendisini takdir hakkı verilenleri sınırsız bir şekilde denetimsiz bırakarak keyfilik potansiyelini en üst düzeye çıkarmaktadır. Nitekim Venedik Komisyonu da bu sorumsuzluğun KHK’ların suç teşkil edebilecek bazı eylemlere doğrudan izin ve emir verdiğini veya en azından görevlerini yerine getirirken suç işleyenlerin cezalandırılmayacağını ima ettiğini belirterek bu düzenlemenin kaldırılmasını talep etmiştir.</w:t>
      </w:r>
    </w:p>
    <w:p w14:paraId="0A27CE0F"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Bu çerçevede, temel haklara müdahale eden tedbirlerin, gerektiğinde gizli bilgilerin kullanımındaki usulü sınırlamalar da dâhil olmak üzere, bağımsız bir organ önünde çekişmeli usullere tabi olarak incelenmesi gerekir. İlgili kişi, ulusal güvenliğin gerçekten söz konusu olup olmadığını sorgulayabilmelidir. Her ne kadar idarenin ulusal güvenliğe dair değerlendirmesi özel bir ağırlığa sahip olsa da bağımsız makam, olaylarda makul bir temel bulunmadığında veya yorumun hukuksuz, keyfi ve ortak anlayışa aykırı olduğu durumlarda müdahale edebilmelidir (Al-</w:t>
      </w:r>
      <w:proofErr w:type="spellStart"/>
      <w:r w:rsidRPr="00AE7BC3">
        <w:rPr>
          <w:rFonts w:eastAsia="Times New Roman" w:cs="Times New Roman"/>
          <w:szCs w:val="24"/>
          <w:lang w:val="tr-TR" w:eastAsia="tr-TR"/>
        </w:rPr>
        <w:t>Nashif</w:t>
      </w:r>
      <w:proofErr w:type="spellEnd"/>
      <w:r w:rsidRPr="00AE7BC3">
        <w:rPr>
          <w:rFonts w:eastAsia="Times New Roman" w:cs="Times New Roman"/>
          <w:szCs w:val="24"/>
          <w:lang w:val="tr-TR" w:eastAsia="tr-TR"/>
        </w:rPr>
        <w:t xml:space="preserve">/Bulgaristan). Bu yaklaşım N.F./İtalya kararında somutlaşmıştır. AİHM, bir hâkime mason locasına üyeliği nedeniyle disiplin cezası öngören idari düzenlemenin, yargısal görevlerin gereği gibi yerine getirilmesi yükümlülüğü ile </w:t>
      </w:r>
      <w:r w:rsidRPr="00AE7BC3">
        <w:rPr>
          <w:rFonts w:eastAsia="Times New Roman" w:cs="Times New Roman"/>
          <w:szCs w:val="24"/>
          <w:lang w:val="tr-TR" w:eastAsia="tr-TR"/>
        </w:rPr>
        <w:lastRenderedPageBreak/>
        <w:t xml:space="preserve">bağdaşmayacağını öngörülebilir kılmadığını belirtmiştir. Bu nedenle, disiplin sürecinin işletilmesi ve uyarma cezası verilmesi, “yasayla öngörülme” koşulunu karşılamamış ve </w:t>
      </w:r>
      <w:proofErr w:type="spellStart"/>
      <w:r w:rsidRPr="00AE7BC3">
        <w:rPr>
          <w:rFonts w:eastAsia="Times New Roman" w:cs="Times New Roman"/>
          <w:szCs w:val="24"/>
          <w:lang w:val="tr-TR" w:eastAsia="tr-TR"/>
        </w:rPr>
        <w:t>AİHS’in</w:t>
      </w:r>
      <w:proofErr w:type="spellEnd"/>
      <w:r w:rsidRPr="00AE7BC3">
        <w:rPr>
          <w:rFonts w:eastAsia="Times New Roman" w:cs="Times New Roman"/>
          <w:szCs w:val="24"/>
          <w:lang w:val="tr-TR" w:eastAsia="tr-TR"/>
        </w:rPr>
        <w:t xml:space="preserve"> 11. maddesinin ihlali sonucunu doğurmuştur.</w:t>
      </w:r>
    </w:p>
    <w:p w14:paraId="3418BE49"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proofErr w:type="spellStart"/>
      <w:r w:rsidRPr="00AE7BC3">
        <w:rPr>
          <w:rFonts w:eastAsia="Times New Roman" w:cs="Times New Roman"/>
          <w:szCs w:val="24"/>
          <w:lang w:val="tr-TR" w:eastAsia="tr-TR"/>
        </w:rPr>
        <w:t>AİHS’in</w:t>
      </w:r>
      <w:proofErr w:type="spellEnd"/>
      <w:r w:rsidRPr="00AE7BC3">
        <w:rPr>
          <w:rFonts w:eastAsia="Times New Roman" w:cs="Times New Roman"/>
          <w:szCs w:val="24"/>
          <w:lang w:val="tr-TR" w:eastAsia="tr-TR"/>
        </w:rPr>
        <w:t xml:space="preserve"> 8. maddesinde düzenlenen hakka müdahaleye imkân veren </w:t>
      </w:r>
      <w:r w:rsidRPr="00AE7BC3">
        <w:rPr>
          <w:rFonts w:eastAsia="Times New Roman" w:cs="Times New Roman"/>
          <w:b/>
          <w:bCs/>
          <w:szCs w:val="24"/>
          <w:lang w:val="tr-TR" w:eastAsia="tr-TR"/>
        </w:rPr>
        <w:t>bir düzenlemenin taşıması gereken temel koşullardan biri de “</w:t>
      </w:r>
      <w:proofErr w:type="spellStart"/>
      <w:r w:rsidRPr="00AE7BC3">
        <w:rPr>
          <w:rFonts w:eastAsia="Times New Roman" w:cs="Times New Roman"/>
          <w:b/>
          <w:bCs/>
          <w:szCs w:val="24"/>
          <w:lang w:val="tr-TR" w:eastAsia="tr-TR"/>
        </w:rPr>
        <w:t>erişilebilirlik”tir</w:t>
      </w:r>
      <w:proofErr w:type="spellEnd"/>
      <w:r w:rsidRPr="00AE7BC3">
        <w:rPr>
          <w:rFonts w:eastAsia="Times New Roman" w:cs="Times New Roman"/>
          <w:szCs w:val="24"/>
          <w:lang w:val="tr-TR" w:eastAsia="tr-TR"/>
        </w:rPr>
        <w:t>. Erişilebilirlik, kişinin belirli bir davranışta bulunduğu veya sosyal bir ilişki kurduğu anda, bu davranış ya da ilişkilerin hangi sonuçlara yol açacağını ve hangi yaptırımlara bağlandığını gösteren hukuk kuralları hakkında yeterli bilgiye sahip olabilmesini ya da bu kuralları öğrenebilecek durumda bulunmasını ifade eder. Başka bir deyişle, bireylerin eylem ve ilişkilerinin sonuçlarını öngörebilmelerini sağlayacak hukuk kurallarına açık ve anlaşılır bir şekilde ulaşabilmeleri gerekir.</w:t>
      </w:r>
    </w:p>
    <w:p w14:paraId="3448D023"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Bakanlar Kurulu tarafından kabul edildiği tarihinden önceki döneme dair, suç teşkil etmeyen eylem ve ilişkilerden sonuç çıkarmaya matuf geçmişe etkili OHAL KHK’ları bu haliyle “erişilebilirlik” kriterini taşımamaktadır. KHK’ların, erişilebilir bir yasal düzenleme olup olmadığı değerlendirilirken, Türkiye’de herhangi bir dini ya da siyasi grup veya oluşum ile irtibatlı ya da iltisaklı olmanın kabul tarihinden önce (şu an dahil) yaptırım veya meslekten çıkarılmayı gerektirdiğine dair ne bir hukuki düzenleme ne bir yargı kararı ne de yerleşik bir idari uygulama mevcuttu. Yargı mercilerinde atıf yapılan MGK kararları ise, gizli nitelikte olup yalnızca Bakanlar Kurulu’na yönelik tavsiye mahiyetindedir. Bu kararlar, Bakanlar Kurulu tarafından erişilebilir ve bağlayıcı bir düzenleyici işleme dönüştürülmediği gibi, yaptırım gerektiren bir durum olarak da düzenlenmemiştir.</w:t>
      </w:r>
    </w:p>
    <w:p w14:paraId="68658B7B"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AİHS m. 8’de düzenlenen hakka müdahaleye imkân veren </w:t>
      </w:r>
      <w:r w:rsidRPr="00AE7BC3">
        <w:rPr>
          <w:rFonts w:eastAsia="Times New Roman" w:cs="Times New Roman"/>
          <w:b/>
          <w:bCs/>
          <w:szCs w:val="24"/>
          <w:lang w:val="tr-TR" w:eastAsia="tr-TR"/>
        </w:rPr>
        <w:t>bir düzenlemenin taşıması gereken temel koşullardan bir diğeri ise “</w:t>
      </w:r>
      <w:proofErr w:type="spellStart"/>
      <w:r w:rsidRPr="00AE7BC3">
        <w:rPr>
          <w:rFonts w:eastAsia="Times New Roman" w:cs="Times New Roman"/>
          <w:b/>
          <w:bCs/>
          <w:szCs w:val="24"/>
          <w:lang w:val="tr-TR" w:eastAsia="tr-TR"/>
        </w:rPr>
        <w:t>öngörülebilirlik”tir</w:t>
      </w:r>
      <w:proofErr w:type="spellEnd"/>
      <w:r w:rsidRPr="00AE7BC3">
        <w:rPr>
          <w:rFonts w:eastAsia="Times New Roman" w:cs="Times New Roman"/>
          <w:szCs w:val="24"/>
          <w:lang w:val="tr-TR" w:eastAsia="tr-TR"/>
        </w:rPr>
        <w:t xml:space="preserve">. “Erişilebilir” bir düzenleme yokluğunda o düzenlemenin “öngörülebilir” olup olmadığı değerlendirmesine gerek yoktur. Öngörülebilir olması ile kastedilen, düzenlemenin, ilgili şahsa davranışlarını düzenleme ve sonuçlarını öngörebilmesine elverişli açıklık ve kesinlikte formüle edilmiş olmasıdır </w:t>
      </w:r>
      <w:r w:rsidRPr="00AE7BC3">
        <w:rPr>
          <w:rFonts w:eastAsia="Times New Roman" w:cs="Times New Roman"/>
          <w:szCs w:val="24"/>
          <w:lang w:val="tr-TR"/>
        </w:rPr>
        <w:t>(Sunday Times/Birleşik Krallık)</w:t>
      </w:r>
      <w:r w:rsidRPr="00AE7BC3">
        <w:rPr>
          <w:rFonts w:eastAsia="Times New Roman" w:cs="Times New Roman"/>
          <w:szCs w:val="24"/>
          <w:lang w:val="tr-TR" w:eastAsia="tr-TR"/>
        </w:rPr>
        <w:t>.</w:t>
      </w:r>
    </w:p>
    <w:p w14:paraId="1AA4D370"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Ancak, bir an için başvurucunun meslekten ihraç edildiği OHAL KHK’sının ‘erişilebilir’ olduğu kabul edildiğinde bile, bu düzenleme AİHM içtihatları uyarınca öngörülebilir nitelikte değildir. Zira öncelikle, söz konusu KHK kişilere, davranışları düzenlemelerine ve sonuçlarını öngörebilmelerine elverişli kesinlikte </w:t>
      </w:r>
      <w:r w:rsidRPr="00AE7BC3">
        <w:rPr>
          <w:rFonts w:eastAsia="Times New Roman" w:cs="Times New Roman"/>
          <w:szCs w:val="24"/>
          <w:lang w:val="tr-TR" w:eastAsia="tr-TR"/>
        </w:rPr>
        <w:lastRenderedPageBreak/>
        <w:t xml:space="preserve">formüle edilmiş değildir. </w:t>
      </w:r>
      <w:proofErr w:type="spellStart"/>
      <w:r w:rsidRPr="00AE7BC3">
        <w:rPr>
          <w:rFonts w:eastAsia="Times New Roman" w:cs="Times New Roman"/>
          <w:szCs w:val="24"/>
          <w:lang w:val="tr-TR" w:eastAsia="tr-TR"/>
        </w:rPr>
        <w:t>İstihbari</w:t>
      </w:r>
      <w:proofErr w:type="spellEnd"/>
      <w:r w:rsidRPr="00AE7BC3">
        <w:rPr>
          <w:rFonts w:eastAsia="Times New Roman" w:cs="Times New Roman"/>
          <w:szCs w:val="24"/>
          <w:lang w:val="tr-TR" w:eastAsia="tr-TR"/>
        </w:rPr>
        <w:t xml:space="preserve"> birer kavram olan ve Türk hukuk sistemine ilk kez KHK’lar ile giren “iltisak ve irtibat” kavramlarının anlamları belirsiz olup bu kavramların kapsamını belirten yargı kararı dahi bulunmamaktaydı. Kişilerin ne tür davranış ya da sosyal ilişkilerinin ve hangi döneme, ne ölçüde uzak geçmişine dair veya hangi ilişki seviyesinden sonraki davranış ya da ilişkilerinin hangi objektif ölçütlere göre bu kavramların kapsamında değerlendirileceği ne KHK’da ne de başka bir mevzuatta ya da yargı içtihatlarında belirlenmemişti. Bu nedenle, başvurucunun çevresiyle sosyal ilişkilerini sürdürdüğü sırada, ileride mevzuata eklenecek içeriği belirsiz bu kavramlarla meslekten çıkarılabileceğini öngörebilmesi mümkün değildi. </w:t>
      </w:r>
    </w:p>
    <w:p w14:paraId="40503CCA"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AYM ve Danıştay, söz konusu kavramların yeterli hukuki belirlilik taşıdığını kabul etmiştir. Ancak bu kabul, KHK ile getirildikten yıllar sonra yalnızca Türk Dil Kurumu sözlüğünden yapılan alıntılarla açıklanmaya çalışılmış, bunun ötesinde herhangi bir gerekçe ortaya konulmamıştır. Bu kavramların ne önceki yargı kararlarında yer aldığı ne de sonradan mahkeme içtihatlarıyla somutlaştırıldığı söylenebilir. Nitekim aynı kurum ve kişilerle geçmişte yoğun ilişkileri bulunan hükümet yanlısı kişiler hakkında bu tür “</w:t>
      </w:r>
      <w:proofErr w:type="spellStart"/>
      <w:r w:rsidRPr="00AE7BC3">
        <w:rPr>
          <w:rFonts w:eastAsia="Times New Roman" w:cs="Times New Roman"/>
          <w:szCs w:val="24"/>
          <w:lang w:val="tr-TR" w:eastAsia="tr-TR"/>
        </w:rPr>
        <w:t>deliller”in</w:t>
      </w:r>
      <w:proofErr w:type="spellEnd"/>
      <w:r w:rsidRPr="00AE7BC3">
        <w:rPr>
          <w:rFonts w:eastAsia="Times New Roman" w:cs="Times New Roman"/>
          <w:szCs w:val="24"/>
          <w:lang w:val="tr-TR" w:eastAsia="tr-TR"/>
        </w:rPr>
        <w:t xml:space="preserve"> hiç kullanılmaması, normun belirsizliği nedeniyle keyfî yoruma ve seçmeci uygulamaya ne derece açık olduğunun göstergesidir. Sonuç olarak düzenleme, öngörülebilirlik ve hukukî güvenlik gereklerini karşılamayan, keyfiliğe açık bir çerçeve çizmektedir.</w:t>
      </w:r>
    </w:p>
    <w:p w14:paraId="6138E7B3"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Başvurucu bir kamu görevlisi olarak Anayasa ve yasaların koruması altında bulunmaktaydı. Görevden uzaklaştırma ve çıkarma dahil olmak üzere, her türlü disiplin cezası verilmesine dair usulü teminatlar kanunla teminat altına alınmıştır. Meslekten çıkarılmasının dayanağını oluşturan OHAL KHK’sında izlenecek usulle ilgili herhangi bir düzenlemeye yer verilmemiştir. Hiçbir usulü güvence tanınmadan başvurucu hakkında meslekten çıkarılma yaptırımı uygulanmıştır. </w:t>
      </w:r>
    </w:p>
    <w:p w14:paraId="5F1DA175"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Bu sebeplerle, kişisel itibarı da dahil, başvurucunun özel yaşamına en ağır şekilde müdahale teşkil eden, dolayısıyla tüm mali ve özlük haklarından mahrumiyetine ve ağır manevi zarara uğramasına neden olan meslekten çıkarılmasının dayanağını oluşturan OHAL KHK’sı, </w:t>
      </w:r>
      <w:proofErr w:type="spellStart"/>
      <w:r w:rsidRPr="00AE7BC3">
        <w:rPr>
          <w:rFonts w:eastAsia="Times New Roman" w:cs="Times New Roman"/>
          <w:szCs w:val="24"/>
          <w:lang w:val="tr-TR" w:eastAsia="tr-TR"/>
        </w:rPr>
        <w:t>AİHS’in</w:t>
      </w:r>
      <w:proofErr w:type="spellEnd"/>
      <w:r w:rsidRPr="00AE7BC3">
        <w:rPr>
          <w:rFonts w:eastAsia="Times New Roman" w:cs="Times New Roman"/>
          <w:szCs w:val="24"/>
          <w:lang w:val="tr-TR" w:eastAsia="tr-TR"/>
        </w:rPr>
        <w:t xml:space="preserve"> 8/2. maddesinde öngörülen özel yaşam hakkına müdahaleye imkân veren bir yasanın taşıması gereken erişilebilirlik, öngörülebilirlik ve hukukun üstünlüğüne uyumlu olma </w:t>
      </w:r>
      <w:r w:rsidRPr="00AE7BC3">
        <w:rPr>
          <w:rFonts w:eastAsia="Times New Roman" w:cs="Times New Roman"/>
          <w:szCs w:val="24"/>
          <w:lang w:val="tr-TR" w:eastAsia="tr-TR"/>
        </w:rPr>
        <w:lastRenderedPageBreak/>
        <w:t>kriterlerini taşımamaktadır. Dolayısıyla, müdahaleye dolayısıyla meslekten çıkarmaya dayanak bir kanunî düzenleme olarak kabul edilemez.</w:t>
      </w:r>
    </w:p>
    <w:p w14:paraId="0EC7E0C5"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Mesleki ya da özel yaşamına ait kişisel veri niteliğindeki fişleme bilgilerin, hakkında herhangi bir disiplin soruşturması olmaksızın toplanması, depolanması ve kullanılmasına ilişkin idareye kanunla verilen bir yetki ve görev bulunmamaktadır. Bu nedenle, özel yaşama müdahale teşkil eden bu işlemler de kanunla öngörülme kuralına aykırılık teşkil etmektedir. İdareye kanunlarla verilen özlük hakları ile ilgili karar alma yetkilerinin doğruluğu teyit edilmeyen her türlü bilgiyi toplama ve gizli dosyalarda arşivleme ve keyfilik riski içerecek şekilde, aksini kanıtlama imkânı sunmaksızın kullanma yetkisi verdiği biçimde yorumlanamaz. Bu konularda verilecek yetkilerin kullanımına ilişkin takdir yetkisinin kapsamı ve kullanım tarzı yeterince açık biçimde gösterilmelidir (Rotoru/Romanya; </w:t>
      </w:r>
      <w:proofErr w:type="spellStart"/>
      <w:r w:rsidRPr="00AE7BC3">
        <w:rPr>
          <w:rFonts w:eastAsia="Times New Roman" w:cs="Times New Roman"/>
          <w:szCs w:val="24"/>
          <w:lang w:val="tr-TR" w:eastAsia="tr-TR"/>
        </w:rPr>
        <w:t>Molone</w:t>
      </w:r>
      <w:proofErr w:type="spellEnd"/>
      <w:r w:rsidRPr="00AE7BC3">
        <w:rPr>
          <w:rFonts w:eastAsia="Times New Roman" w:cs="Times New Roman"/>
          <w:szCs w:val="24"/>
          <w:lang w:val="tr-TR" w:eastAsia="tr-TR"/>
        </w:rPr>
        <w:t xml:space="preserve">/Birleşik Krallık kararı). Bu bağlamda mevzuatın, hangi bilgilerin hangi usulde toplanacağını da belirtmesi gerekmektedir. Bu haliyle idareye verilen takdir yetkisinin kullanımının kapsamı ve biçimi ile ilgili makul açıklıkta bir kanuni düzenleme bulunmamaktadır. </w:t>
      </w:r>
    </w:p>
    <w:p w14:paraId="2506A22F"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Başvurucunun meslekten çıkarılmasına dair kararının Resmî </w:t>
      </w:r>
      <w:proofErr w:type="spellStart"/>
      <w:r w:rsidRPr="00AE7BC3">
        <w:rPr>
          <w:rFonts w:eastAsia="Times New Roman" w:cs="Times New Roman"/>
          <w:szCs w:val="24"/>
          <w:lang w:val="tr-TR" w:eastAsia="tr-TR"/>
        </w:rPr>
        <w:t>Gazete’de</w:t>
      </w:r>
      <w:proofErr w:type="spellEnd"/>
      <w:r w:rsidRPr="00AE7BC3">
        <w:rPr>
          <w:rFonts w:eastAsia="Times New Roman" w:cs="Times New Roman"/>
          <w:szCs w:val="24"/>
          <w:lang w:val="tr-TR" w:eastAsia="tr-TR"/>
        </w:rPr>
        <w:t xml:space="preserve"> yayımlanmasının dayanağını 670 ve 673 sayılı KHK’ların ilgili hükümleri oluşturmaktadır. Meslekten çıkarılmaya dair KHK’lar, ekinde yer alan listeyle birlikte yayımlamıştır. İhraç kararının başvurucunun ismine listede yer vererek Resmî Gazetede yayınlanmasına dair bu düzenlemeler de ilave güvenceler öngörmediğinden hukukun üstünlüğüne aykırıdır. Nitekim idareye tanınan denetimsiz ve kontrolsüz, aynı zamanda her türlü sorumluluğu ortadan kaldıran yetkisini (667 sayılı KHK m.9) kullanması suretiyle hazırlanan meslekten çıkarma kararı, başvurucu da dahil listede isimleri yer alanları karalayıcı içerikli kaleme alınmış ve tüm muhatapların sürekli biçimde terörist ya da başka bir terör örgütü ile irtibatlı olarak damgalanmaları sonucunu doğurmuştur. Bu nedenle, hukukun üstünlüğü ilkesine açıkça aykırı bu düzenlemeler Resmî </w:t>
      </w:r>
      <w:proofErr w:type="spellStart"/>
      <w:r w:rsidRPr="00AE7BC3">
        <w:rPr>
          <w:rFonts w:eastAsia="Times New Roman" w:cs="Times New Roman"/>
          <w:szCs w:val="24"/>
          <w:lang w:val="tr-TR" w:eastAsia="tr-TR"/>
        </w:rPr>
        <w:t>Gazete’de</w:t>
      </w:r>
      <w:proofErr w:type="spellEnd"/>
      <w:r w:rsidRPr="00AE7BC3">
        <w:rPr>
          <w:rFonts w:eastAsia="Times New Roman" w:cs="Times New Roman"/>
          <w:szCs w:val="24"/>
          <w:lang w:val="tr-TR" w:eastAsia="tr-TR"/>
        </w:rPr>
        <w:t xml:space="preserve"> afişe edilmek ve damgalanmak suretiyle itibar hakkına müdahale edilmesine imkân tanıdığından </w:t>
      </w:r>
      <w:proofErr w:type="spellStart"/>
      <w:r w:rsidRPr="00AE7BC3">
        <w:rPr>
          <w:rFonts w:eastAsia="Times New Roman" w:cs="Times New Roman"/>
          <w:szCs w:val="24"/>
          <w:lang w:val="tr-TR" w:eastAsia="tr-TR"/>
        </w:rPr>
        <w:t>AİHS’in</w:t>
      </w:r>
      <w:proofErr w:type="spellEnd"/>
      <w:r w:rsidRPr="00AE7BC3">
        <w:rPr>
          <w:rFonts w:eastAsia="Times New Roman" w:cs="Times New Roman"/>
          <w:szCs w:val="24"/>
          <w:lang w:val="tr-TR" w:eastAsia="tr-TR"/>
        </w:rPr>
        <w:t xml:space="preserve"> 8. maddesi anlamında bir “kanun” niteliği taşımamaktadır. </w:t>
      </w:r>
    </w:p>
    <w:p w14:paraId="0A88BCE5"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Başvurucunun özel hayatına yapılan </w:t>
      </w:r>
      <w:r w:rsidRPr="00AE7BC3">
        <w:rPr>
          <w:rFonts w:eastAsia="Times New Roman" w:cs="Times New Roman"/>
          <w:b/>
          <w:bCs/>
          <w:szCs w:val="24"/>
          <w:lang w:val="tr-TR" w:eastAsia="tr-TR"/>
        </w:rPr>
        <w:t>müdahalelerin meşru bir amacı da bulunmamaktadır.</w:t>
      </w:r>
      <w:r w:rsidRPr="00AE7BC3">
        <w:rPr>
          <w:rFonts w:eastAsia="Times New Roman" w:cs="Times New Roman"/>
          <w:szCs w:val="24"/>
          <w:lang w:val="tr-TR" w:eastAsia="tr-TR"/>
        </w:rPr>
        <w:t xml:space="preserve"> Başvurucunun görevinden çıkarıldığı KHK’da “</w:t>
      </w:r>
      <w:r w:rsidRPr="00AE7BC3">
        <w:rPr>
          <w:rFonts w:eastAsia="Times New Roman" w:cs="Times New Roman"/>
          <w:i/>
          <w:iCs/>
          <w:szCs w:val="24"/>
          <w:lang w:val="tr-TR" w:eastAsia="tr-TR"/>
        </w:rPr>
        <w:t xml:space="preserve">ülke genelinde ilan edilen olağanüstü hâl kapsamında, kamu personeline ilişkin bazı tedbirlerin </w:t>
      </w:r>
      <w:r w:rsidRPr="00AE7BC3">
        <w:rPr>
          <w:rFonts w:eastAsia="Times New Roman" w:cs="Times New Roman"/>
          <w:i/>
          <w:iCs/>
          <w:szCs w:val="24"/>
          <w:lang w:val="tr-TR" w:eastAsia="tr-TR"/>
        </w:rPr>
        <w:lastRenderedPageBreak/>
        <w:t>alınmasının amaçlandığı</w:t>
      </w:r>
      <w:r w:rsidRPr="00AE7BC3">
        <w:rPr>
          <w:rFonts w:eastAsia="Times New Roman" w:cs="Times New Roman"/>
          <w:szCs w:val="24"/>
          <w:lang w:val="tr-TR" w:eastAsia="tr-TR"/>
        </w:rPr>
        <w:t>” belirtilmiş ancak bu tedbirlerin amacının ne olduğu açıklanmamıştır.</w:t>
      </w:r>
    </w:p>
    <w:p w14:paraId="3AC34C2C"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Başvurucuya yöneltilen soyut “irtibat ve iltisak” iddiaları, sadakat yükümlülüğüne aykırı olarak nitelendirilemez. Kamu görevlilerinin sadakat yükümlülüğü, hükümete veya belirli bir siyasi iktidara kişisel bağlılık anlamına gelmez; bu yükümlülük, hukukun üstünlüğüne, demokratik düzene ve kamu hizmetinin tarafsızlığına bağlılık olarak anlaşılmalıdır. Sadakat yükümlülüğünün kapsamı, kamu görevinin niteliğine göre dar veya geniş yorumlanabilir, ancak hiçbir durumda demokratik toplum düzeninin özünü zedeleyecek biçimde fikir, inanç veya ilişkilere dayalı keyfî bir değerlendirme aracı hâline getirilemez. Dolayısıyla, başvurucuya yöneltilen “irtibat ve iltisak” isnatları, hukuken belirli ve kanıtlanabilir bir temel taşımadığından, sadakat yükümlülüğünün ihlali olarak değerlendirilemez.</w:t>
      </w:r>
    </w:p>
    <w:p w14:paraId="714E098D" w14:textId="78B650A3"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Başvurucunun ByLock kullanıcısı olması iddiası</w:t>
      </w:r>
      <w:r w:rsidR="008A0322">
        <w:rPr>
          <w:rFonts w:eastAsia="Times New Roman" w:cs="Times New Roman"/>
          <w:szCs w:val="24"/>
          <w:lang w:val="tr-TR"/>
        </w:rPr>
        <w:t xml:space="preserve">, </w:t>
      </w:r>
      <w:r w:rsidR="007340F2" w:rsidRPr="007340F2">
        <w:rPr>
          <w:rFonts w:eastAsia="Times New Roman" w:cs="Times New Roman"/>
          <w:szCs w:val="24"/>
          <w:lang w:val="tr-TR"/>
        </w:rPr>
        <w:t>teknik olarak doğrulanmış olsaydı dah</w:t>
      </w:r>
      <w:r w:rsidR="007340F2">
        <w:rPr>
          <w:rFonts w:eastAsia="Times New Roman" w:cs="Times New Roman"/>
          <w:szCs w:val="24"/>
          <w:lang w:val="tr-TR"/>
        </w:rPr>
        <w:t>i,</w:t>
      </w:r>
      <w:r w:rsidRPr="00AE7BC3">
        <w:rPr>
          <w:rFonts w:eastAsia="Times New Roman" w:cs="Times New Roman"/>
          <w:szCs w:val="24"/>
          <w:lang w:val="tr-TR"/>
        </w:rPr>
        <w:t xml:space="preserve"> sadakat yükümlülüğüne aykırılık teşkil etmeyecektir. Hükümete göre bu program sadece cemaat üyeleri tarafından kullanılmaktadır. Bu noktada AİHM, ByLock kullanımının </w:t>
      </w:r>
      <w:proofErr w:type="spellStart"/>
      <w:r w:rsidRPr="00AE7BC3">
        <w:rPr>
          <w:rFonts w:eastAsia="Times New Roman" w:cs="Times New Roman"/>
          <w:i/>
          <w:iCs/>
          <w:szCs w:val="24"/>
          <w:lang w:val="tr-TR"/>
        </w:rPr>
        <w:t>prima</w:t>
      </w:r>
      <w:proofErr w:type="spellEnd"/>
      <w:r w:rsidRPr="00AE7BC3">
        <w:rPr>
          <w:rFonts w:eastAsia="Times New Roman" w:cs="Times New Roman"/>
          <w:i/>
          <w:iCs/>
          <w:szCs w:val="24"/>
          <w:lang w:val="tr-TR"/>
        </w:rPr>
        <w:t xml:space="preserve"> </w:t>
      </w:r>
      <w:proofErr w:type="spellStart"/>
      <w:r w:rsidRPr="00AE7BC3">
        <w:rPr>
          <w:rFonts w:eastAsia="Times New Roman" w:cs="Times New Roman"/>
          <w:i/>
          <w:iCs/>
          <w:szCs w:val="24"/>
          <w:lang w:val="tr-TR"/>
        </w:rPr>
        <w:t>facie</w:t>
      </w:r>
      <w:proofErr w:type="spellEnd"/>
      <w:r w:rsidRPr="00AE7BC3">
        <w:rPr>
          <w:rFonts w:eastAsia="Times New Roman" w:cs="Times New Roman"/>
          <w:szCs w:val="24"/>
          <w:lang w:val="tr-TR"/>
        </w:rPr>
        <w:t xml:space="preserve"> (ilk bakışta) Gülen Hareketi ile bir tür bağlantıya işaret edebileceğini belirtmiştir (Yalçınkaya, § 259). Mesaj içerikleri ve bağlamları (Akgün, §173) incelenmeden, otomatik bir sadakate aykırılık karinesi oluşturmak (Yalçınkaya, </w:t>
      </w:r>
      <w:proofErr w:type="spellStart"/>
      <w:r w:rsidRPr="00AE7BC3">
        <w:rPr>
          <w:rFonts w:eastAsia="Times New Roman" w:cs="Times New Roman"/>
          <w:szCs w:val="24"/>
          <w:lang w:val="tr-TR"/>
        </w:rPr>
        <w:t>mutadis</w:t>
      </w:r>
      <w:proofErr w:type="spellEnd"/>
      <w:r w:rsidRPr="00AE7BC3">
        <w:rPr>
          <w:rFonts w:eastAsia="Times New Roman" w:cs="Times New Roman"/>
          <w:szCs w:val="24"/>
          <w:lang w:val="tr-TR"/>
        </w:rPr>
        <w:t xml:space="preserve"> </w:t>
      </w:r>
      <w:proofErr w:type="spellStart"/>
      <w:r w:rsidRPr="00AE7BC3">
        <w:rPr>
          <w:rFonts w:eastAsia="Times New Roman" w:cs="Times New Roman"/>
          <w:szCs w:val="24"/>
          <w:lang w:val="tr-TR"/>
        </w:rPr>
        <w:t>mutandis</w:t>
      </w:r>
      <w:proofErr w:type="spellEnd"/>
      <w:r w:rsidRPr="00AE7BC3">
        <w:rPr>
          <w:rFonts w:eastAsia="Times New Roman" w:cs="Times New Roman"/>
          <w:szCs w:val="24"/>
          <w:lang w:val="tr-TR"/>
        </w:rPr>
        <w:t>, §§ 255-272) varmak hukuka aykırıdır. Başvurucunun ihracı anında ByLock programında paylaşılan sadakat yükümlülüğüne aykırılık teşkil eden bir bilgi bulunmadığı gibi sonrasında da böyle bir veri dosyaya eklenmemiştir.</w:t>
      </w:r>
      <w:r w:rsidR="001C5BC8">
        <w:rPr>
          <w:rFonts w:eastAsia="Times New Roman" w:cs="Times New Roman"/>
          <w:szCs w:val="24"/>
          <w:lang w:val="tr-TR"/>
        </w:rPr>
        <w:t xml:space="preserve"> </w:t>
      </w:r>
      <w:r w:rsidR="001C5BC8" w:rsidRPr="001C5BC8">
        <w:rPr>
          <w:rFonts w:eastAsia="Times New Roman" w:cs="Times New Roman"/>
          <w:szCs w:val="24"/>
          <w:lang w:val="tr-TR"/>
        </w:rPr>
        <w:t xml:space="preserve">Buna dair ne </w:t>
      </w:r>
      <w:proofErr w:type="gramStart"/>
      <w:r w:rsidR="001C5BC8" w:rsidRPr="001C5BC8">
        <w:rPr>
          <w:rFonts w:eastAsia="Times New Roman" w:cs="Times New Roman"/>
          <w:szCs w:val="24"/>
          <w:lang w:val="tr-TR"/>
        </w:rPr>
        <w:t>idare</w:t>
      </w:r>
      <w:r w:rsidR="001C5BC8">
        <w:rPr>
          <w:rFonts w:eastAsia="Times New Roman" w:cs="Times New Roman"/>
          <w:szCs w:val="24"/>
          <w:lang w:val="tr-TR"/>
        </w:rPr>
        <w:t>,</w:t>
      </w:r>
      <w:proofErr w:type="gramEnd"/>
      <w:r w:rsidR="001C5BC8">
        <w:rPr>
          <w:rFonts w:eastAsia="Times New Roman" w:cs="Times New Roman"/>
          <w:szCs w:val="24"/>
          <w:lang w:val="tr-TR"/>
        </w:rPr>
        <w:t xml:space="preserve"> ne idare mahkemesi</w:t>
      </w:r>
      <w:r w:rsidR="001C5BC8" w:rsidRPr="001C5BC8">
        <w:rPr>
          <w:rFonts w:eastAsia="Times New Roman" w:cs="Times New Roman"/>
          <w:szCs w:val="24"/>
          <w:lang w:val="tr-TR"/>
        </w:rPr>
        <w:t xml:space="preserve"> ne </w:t>
      </w:r>
      <w:r w:rsidR="001C5BC8">
        <w:rPr>
          <w:rFonts w:eastAsia="Times New Roman" w:cs="Times New Roman"/>
          <w:szCs w:val="24"/>
          <w:lang w:val="tr-TR"/>
        </w:rPr>
        <w:t xml:space="preserve">de </w:t>
      </w:r>
      <w:r w:rsidR="001C5BC8" w:rsidRPr="001C5BC8">
        <w:rPr>
          <w:rFonts w:eastAsia="Times New Roman" w:cs="Times New Roman"/>
          <w:szCs w:val="24"/>
          <w:lang w:val="tr-TR"/>
        </w:rPr>
        <w:t xml:space="preserve">Danıştay en küçük bir delil ve emare ortaya koyamamıştır. </w:t>
      </w:r>
      <w:proofErr w:type="spellStart"/>
      <w:r w:rsidR="001C5BC8" w:rsidRPr="001C5BC8">
        <w:rPr>
          <w:rFonts w:eastAsia="Times New Roman" w:cs="Times New Roman"/>
          <w:i/>
          <w:iCs/>
          <w:szCs w:val="24"/>
          <w:lang w:val="tr-TR"/>
        </w:rPr>
        <w:t>Ex</w:t>
      </w:r>
      <w:proofErr w:type="spellEnd"/>
      <w:r w:rsidR="001C5BC8" w:rsidRPr="001C5BC8">
        <w:rPr>
          <w:rFonts w:eastAsia="Times New Roman" w:cs="Times New Roman"/>
          <w:i/>
          <w:iCs/>
          <w:szCs w:val="24"/>
          <w:lang w:val="tr-TR"/>
        </w:rPr>
        <w:t xml:space="preserve"> post </w:t>
      </w:r>
      <w:proofErr w:type="spellStart"/>
      <w:r w:rsidR="001C5BC8" w:rsidRPr="001C5BC8">
        <w:rPr>
          <w:rFonts w:eastAsia="Times New Roman" w:cs="Times New Roman"/>
          <w:i/>
          <w:iCs/>
          <w:szCs w:val="24"/>
          <w:lang w:val="tr-TR"/>
        </w:rPr>
        <w:t>facto</w:t>
      </w:r>
      <w:proofErr w:type="spellEnd"/>
      <w:r w:rsidR="001C5BC8" w:rsidRPr="001C5BC8">
        <w:rPr>
          <w:rFonts w:eastAsia="Times New Roman" w:cs="Times New Roman"/>
          <w:szCs w:val="24"/>
          <w:lang w:val="tr-TR"/>
        </w:rPr>
        <w:t xml:space="preserve"> bu veri ve bilgilerden, aksini kanıtlama </w:t>
      </w:r>
      <w:r w:rsidR="001C5BC8" w:rsidRPr="001C5BC8">
        <w:rPr>
          <w:rFonts w:eastAsia="Times New Roman" w:cs="Times New Roman"/>
          <w:szCs w:val="24"/>
          <w:lang w:val="tr-TR"/>
        </w:rPr>
        <w:t>imkânı</w:t>
      </w:r>
      <w:r w:rsidR="001C5BC8" w:rsidRPr="001C5BC8">
        <w:rPr>
          <w:rFonts w:eastAsia="Times New Roman" w:cs="Times New Roman"/>
          <w:szCs w:val="24"/>
          <w:lang w:val="tr-TR"/>
        </w:rPr>
        <w:t xml:space="preserve"> olmayan, otomatik bir sadakatsizlik karinesi geliştirilmiştir.</w:t>
      </w:r>
    </w:p>
    <w:p w14:paraId="59D150B2"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Diğer taraftan, 15 Temmuz sonrası toplu meslekten çıkarmaların asıl amacının, bir sosyal gruba (Cemaate) mensup olduğu düşünülenlerin kamudan tasfiyesi olduğu açıktır. Cumhurbaşkanı, Adalet Bakanı ve </w:t>
      </w:r>
      <w:proofErr w:type="gramStart"/>
      <w:r w:rsidRPr="00AE7BC3">
        <w:rPr>
          <w:rFonts w:eastAsia="Times New Roman" w:cs="Times New Roman"/>
          <w:szCs w:val="24"/>
          <w:lang w:val="tr-TR"/>
        </w:rPr>
        <w:t>HS(</w:t>
      </w:r>
      <w:proofErr w:type="gramEnd"/>
      <w:r w:rsidRPr="00AE7BC3">
        <w:rPr>
          <w:rFonts w:eastAsia="Times New Roman" w:cs="Times New Roman"/>
          <w:szCs w:val="24"/>
          <w:lang w:val="tr-TR"/>
        </w:rPr>
        <w:t xml:space="preserve">Y)K başkanvekili gibi en üst düzey yetkililer tarafından bu amacı açıkça belli eden beyanlarda bulunulmuştur. Oysaki herhangi bir sosyal veya dini topluluk içinde yer almak, yalnızca bir kimlik aidiyetinin göstergesidir. Söz konusu topluluk içinde suç işleyen kişilerin bulunduğunun kabul edilmesinin, tüm topluluk mensuplarına kolektif sorumluluk </w:t>
      </w:r>
      <w:r w:rsidRPr="00AE7BC3">
        <w:rPr>
          <w:rFonts w:eastAsia="Times New Roman" w:cs="Times New Roman"/>
          <w:szCs w:val="24"/>
          <w:lang w:val="tr-TR"/>
        </w:rPr>
        <w:lastRenderedPageBreak/>
        <w:t>yüklenmesini haklı kılmayacağı açıktır. Böyle bir yaklaşım, kimliğe dayalı tasfiyelere kapı aralayacak ve Sözleşme’nin sağladığı korumaları anlamsız hale getirecektir. Dolayısıyla başvurucunun yalnızca varsayılan bir aidiyete dayalı olarak kamu görevinden çıkarılmasını meşru bir amaç olarak kabul etmek mümkün değildir.</w:t>
      </w:r>
    </w:p>
    <w:p w14:paraId="4E119AD9" w14:textId="291A5B41"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Başvurucu, tüm mesleki yaşamı boyunca başarılı bir kariyere sahip olmuş, en iyi derecelerle terfi etmiştir. Özel ve mesleki yaşamında, mesleki kuralları ihlal edecek şekilde hareket ettiğine dair ne dışa yansıyan bir eylem ya da söylemi olmuştur. Hakkında herhangi bir disiplin ya da ceza soruşturması yürütülmemiştir. Buna rağmen, somut hiçbir gerekçe gösterilmeksizin meslekten çıkarılmıştır. Bu amaçla, kişisel veri niteliğindeki bilgileri, sistematik biçimde toplanmış ve meslekten çıkarılma kararı, masumiyet karinesine aykırı biçimde, Resmî Gazetede yayınlanmıştır. Bu suretle maddi/manevi bütünlüğüne, şerefine ve itibarına zarar verilmesinin objektif olarak meşru bir temeli bulunmamaktadır.</w:t>
      </w:r>
      <w:r w:rsidR="0065359F">
        <w:rPr>
          <w:rFonts w:eastAsia="Times New Roman" w:cs="Times New Roman"/>
          <w:szCs w:val="24"/>
          <w:lang w:val="tr-TR" w:eastAsia="tr-TR"/>
        </w:rPr>
        <w:t xml:space="preserve"> </w:t>
      </w:r>
      <w:r w:rsidR="0065359F" w:rsidRPr="0065359F">
        <w:rPr>
          <w:rFonts w:eastAsia="Times New Roman" w:cs="Times New Roman"/>
          <w:szCs w:val="24"/>
          <w:lang w:val="tr-TR" w:eastAsia="tr-TR"/>
        </w:rPr>
        <w:t>Başvurucunun hukuk</w:t>
      </w:r>
      <w:r w:rsidR="0065359F">
        <w:rPr>
          <w:rFonts w:eastAsia="Times New Roman" w:cs="Times New Roman"/>
          <w:szCs w:val="24"/>
          <w:lang w:val="tr-TR" w:eastAsia="tr-TR"/>
        </w:rPr>
        <w:t xml:space="preserve">a </w:t>
      </w:r>
      <w:r w:rsidR="0065359F" w:rsidRPr="0065359F">
        <w:rPr>
          <w:rFonts w:eastAsia="Times New Roman" w:cs="Times New Roman"/>
          <w:szCs w:val="24"/>
          <w:lang w:val="tr-TR" w:eastAsia="tr-TR"/>
        </w:rPr>
        <w:t>ve sadakate aykırı somut hiçbir eylemi yoktur.</w:t>
      </w:r>
    </w:p>
    <w:p w14:paraId="146E5D0A"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Başvurucunun özel yaşamına yönelik bu müdahaleler, </w:t>
      </w:r>
      <w:proofErr w:type="spellStart"/>
      <w:r w:rsidRPr="00AE7BC3">
        <w:rPr>
          <w:rFonts w:eastAsia="Times New Roman" w:cs="Times New Roman"/>
          <w:szCs w:val="24"/>
          <w:lang w:val="tr-TR"/>
        </w:rPr>
        <w:t>AİHS’in</w:t>
      </w:r>
      <w:proofErr w:type="spellEnd"/>
      <w:r w:rsidRPr="00AE7BC3">
        <w:rPr>
          <w:rFonts w:eastAsia="Times New Roman" w:cs="Times New Roman"/>
          <w:szCs w:val="24"/>
          <w:lang w:val="tr-TR"/>
        </w:rPr>
        <w:t xml:space="preserve"> 8/2. maddesinde yer alan kanunla öngörülmesi şartı ile </w:t>
      </w:r>
      <w:r w:rsidRPr="00AE7BC3">
        <w:rPr>
          <w:rFonts w:eastAsia="Times New Roman" w:cs="Times New Roman"/>
          <w:b/>
          <w:bCs/>
          <w:szCs w:val="24"/>
          <w:lang w:val="tr-TR"/>
        </w:rPr>
        <w:t>meşru amaçlardan birini taşımamanın yanı sıra demokratik bir toplumda gerekli olma koşulunu da karşılamamaktadır</w:t>
      </w:r>
      <w:r w:rsidRPr="00AE7BC3">
        <w:rPr>
          <w:rFonts w:eastAsia="Times New Roman" w:cs="Times New Roman"/>
          <w:szCs w:val="24"/>
          <w:lang w:val="tr-TR"/>
        </w:rPr>
        <w:t>. Hükümet darbe girişimini cemaatin gerçekleştirdiğini iddia etmekte ve cemaatle irtibatlı olduğunu düşündüğü tüm kamu görevlilerinin ömür boyu kamu hizmetinden yasaklanmasını uygun bulmaktadır. Oysaki cemaatle bağlantılı olan ya da öyle olduğu iddia edilen sivil memur ve yargı mensuplarından darbeye karıştığı tespit edilen kimse olmamıştır. Askeri personel içinde de dahi darbeye fiilen katılanlarla ihraç edilen personel sayısı arasında aşırı bir orantısızlık söz konusudur. Darbe girişimini aydınlatması beklenen TBMM Darbe Komisyonu uzun süre çalışmış fakat nedeni açıklanmadan söz konusu komisyon raporu açıklanmamıştır. Dolaysıyla, darbe girişimi ve ihraç edilen yüzbinlerce kamu görevlisi arasında hiçbir bağ söz konusu değildir. Hükümetin ihraç politikasının demokratik toplumda gerekli görülebilecek meşru bir zemini yoktur.</w:t>
      </w:r>
    </w:p>
    <w:p w14:paraId="68F3F2D1"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AİHM içtihadına göre, bir müdahale “gerekli” sayılabilmesi için toplumsal ihtiyaç baskısına karşılık gelmeli ve izlenen amaçla orantılı olmalıdır (</w:t>
      </w:r>
      <w:proofErr w:type="spellStart"/>
      <w:r w:rsidRPr="00AE7BC3">
        <w:rPr>
          <w:rFonts w:eastAsia="Times New Roman" w:cs="Times New Roman"/>
          <w:szCs w:val="24"/>
          <w:lang w:val="tr-TR" w:eastAsia="tr-TR"/>
        </w:rPr>
        <w:t>Nada</w:t>
      </w:r>
      <w:proofErr w:type="spellEnd"/>
      <w:r w:rsidRPr="00AE7BC3">
        <w:rPr>
          <w:rFonts w:eastAsia="Times New Roman" w:cs="Times New Roman"/>
          <w:szCs w:val="24"/>
          <w:lang w:val="tr-TR" w:eastAsia="tr-TR"/>
        </w:rPr>
        <w:t>/İsviçre). Ayrıca Mahkeme, daha az zararlı ama aynı amaca ulaşabilecek bir tedbir mümkünse ağır müdahaleyi kabul etmemektedir (</w:t>
      </w:r>
      <w:proofErr w:type="spellStart"/>
      <w:r w:rsidRPr="00AE7BC3">
        <w:rPr>
          <w:rFonts w:eastAsia="Times New Roman" w:cs="Times New Roman"/>
          <w:szCs w:val="24"/>
          <w:lang w:val="tr-TR" w:eastAsia="tr-TR"/>
        </w:rPr>
        <w:t>Nada</w:t>
      </w:r>
      <w:proofErr w:type="spellEnd"/>
      <w:r w:rsidRPr="00AE7BC3">
        <w:rPr>
          <w:rFonts w:eastAsia="Times New Roman" w:cs="Times New Roman"/>
          <w:szCs w:val="24"/>
          <w:lang w:val="tr-TR" w:eastAsia="tr-TR"/>
        </w:rPr>
        <w:t xml:space="preserve">/İsviçre). AİHS m.8/2 </w:t>
      </w:r>
      <w:r w:rsidRPr="00AE7BC3">
        <w:rPr>
          <w:rFonts w:eastAsia="Times New Roman" w:cs="Times New Roman"/>
          <w:szCs w:val="24"/>
          <w:lang w:val="tr-TR" w:eastAsia="tr-TR"/>
        </w:rPr>
        <w:lastRenderedPageBreak/>
        <w:t xml:space="preserve">uyarınca, sadece maddi gerekçeler değil, usule ilişkin güvenceler de aranır. Karar alma süreci, başvurucunun haklarına saygı gösterecek nitelikte olmalı; savunma imkânı tanınmalı ve delillere erişim sağlanmalıdır (Buckley/Birleşik Krallık; </w:t>
      </w:r>
      <w:proofErr w:type="spellStart"/>
      <w:r w:rsidRPr="00AE7BC3">
        <w:rPr>
          <w:rFonts w:eastAsia="Times New Roman" w:cs="Times New Roman"/>
          <w:szCs w:val="24"/>
          <w:lang w:val="tr-TR" w:eastAsia="tr-TR"/>
        </w:rPr>
        <w:t>Turek</w:t>
      </w:r>
      <w:proofErr w:type="spellEnd"/>
      <w:r w:rsidRPr="00AE7BC3">
        <w:rPr>
          <w:rFonts w:eastAsia="Times New Roman" w:cs="Times New Roman"/>
          <w:szCs w:val="24"/>
          <w:lang w:val="tr-TR" w:eastAsia="tr-TR"/>
        </w:rPr>
        <w:t>/Slovakya). AİHM, orantılılık açısından inceleme yaparken birey ile toplumun yarışan menfaatleri arasında adil dengenin kurulmuş olup olmadığına bakmaktadır. Bir müdahalenin orantılı olduğunun kabulü için, söz konusu temel hakka daha az zarar verebilecek ama aynı amaca ulaşılabilecek başka bir müdahaleye başvurma ihtimalinin olmaması gerekir (</w:t>
      </w:r>
      <w:proofErr w:type="spellStart"/>
      <w:r w:rsidRPr="00AE7BC3">
        <w:rPr>
          <w:rFonts w:eastAsia="Times New Roman" w:cs="Times New Roman"/>
          <w:szCs w:val="24"/>
          <w:lang w:val="tr-TR" w:eastAsia="tr-TR"/>
        </w:rPr>
        <w:t>Nada</w:t>
      </w:r>
      <w:proofErr w:type="spellEnd"/>
      <w:r w:rsidRPr="00AE7BC3">
        <w:rPr>
          <w:rFonts w:eastAsia="Times New Roman" w:cs="Times New Roman"/>
          <w:szCs w:val="24"/>
          <w:lang w:val="tr-TR" w:eastAsia="tr-TR"/>
        </w:rPr>
        <w:t xml:space="preserve">/İsviçre kararı). Sözleşmenin 8/2. maddesindeki “gereklilik” şartının incelenmesinde mahkeme, sadece maddi yönden inceleme ile sınırlı kalmamakta usul şartlarını da değerlendirmektedir. Buna göre, karar alma [müdahale] sürecinin bu maddeyle (8. Madde) korunan menfaatlere gerekli saygıyı sağlayacak nitelikte ve </w:t>
      </w:r>
      <w:proofErr w:type="spellStart"/>
      <w:r w:rsidRPr="00AE7BC3">
        <w:rPr>
          <w:rFonts w:eastAsia="Times New Roman" w:cs="Times New Roman"/>
          <w:szCs w:val="24"/>
          <w:lang w:val="tr-TR" w:eastAsia="tr-TR"/>
        </w:rPr>
        <w:t>usulî</w:t>
      </w:r>
      <w:proofErr w:type="spellEnd"/>
      <w:r w:rsidRPr="00AE7BC3">
        <w:rPr>
          <w:rFonts w:eastAsia="Times New Roman" w:cs="Times New Roman"/>
          <w:szCs w:val="24"/>
          <w:lang w:val="tr-TR" w:eastAsia="tr-TR"/>
        </w:rPr>
        <w:t xml:space="preserve"> güvenceleri içermesi gerekmektedir. Bu süreç, ilgilinin 8. maddedeki haklarını, deliller ve kanıtlama konuları dahil, adil şartlarda savunabileceği etkili bir usul mevzuatının varlığını da gerektirir (Buckley/Birleşik Krallık; </w:t>
      </w:r>
      <w:proofErr w:type="spellStart"/>
      <w:r w:rsidRPr="00AE7BC3">
        <w:rPr>
          <w:rFonts w:eastAsia="Times New Roman" w:cs="Times New Roman"/>
          <w:szCs w:val="24"/>
          <w:lang w:val="tr-TR" w:eastAsia="tr-TR"/>
        </w:rPr>
        <w:t>Turek</w:t>
      </w:r>
      <w:proofErr w:type="spellEnd"/>
      <w:r w:rsidRPr="00AE7BC3">
        <w:rPr>
          <w:rFonts w:eastAsia="Times New Roman" w:cs="Times New Roman"/>
          <w:szCs w:val="24"/>
          <w:lang w:val="tr-TR" w:eastAsia="tr-TR"/>
        </w:rPr>
        <w:t>/Slovakya kararı).</w:t>
      </w:r>
    </w:p>
    <w:p w14:paraId="71B71FE1"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Başvurucunun gerek özel gerekse mesleki yaşamındaki çalışma, davranış ve ilişkileri sebebiyle meslek kurallarını ihlal ettiğine dair en küçük bir şikayet veya disiplin soruşturması olmaksızın, yasal güvencelerine aykırı biçimde, savunma ve delillerini sunma hakkı verilmeksizin, bir daha hiçbir kamu hizmetinde görev yapamayacak şekilde, hakkında ne şekilde ve kimler tarafından doldurulan sosyal çevre bilgisi gibi doğruluğu teyit edilmemiş bilgilerle meslekten çıkarılması ve bu kararın damgalayıcı biçimde Resmi Gazetede yayınlanmasını gerektiren “toplumsal bir ihtiyaç baskısı” yoktur.</w:t>
      </w:r>
    </w:p>
    <w:p w14:paraId="194EE06B"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Başvurucunun meslekten çıkarılmasını meşru kılan delil yokluğu bir yana, açığa alıp usulüne uygun, olağan disiplin soruşturması sürecini işletme gibi, idarenin aynı sonuca ulaşmasını sağlayacak ve özel yaşamına daha az zarar verecek yöntemler izlemesi de mümkündü.</w:t>
      </w:r>
    </w:p>
    <w:p w14:paraId="02042F15"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Öte yandan </w:t>
      </w:r>
      <w:r w:rsidRPr="00AE7BC3">
        <w:rPr>
          <w:rFonts w:eastAsia="Times New Roman" w:cs="Times New Roman"/>
          <w:b/>
          <w:bCs/>
          <w:szCs w:val="24"/>
          <w:lang w:val="tr-TR" w:eastAsia="tr-TR"/>
        </w:rPr>
        <w:t>müdahale, sonuçları itibarıyla da ölçüsüzdür ve aşırıdır</w:t>
      </w:r>
      <w:r w:rsidRPr="00AE7BC3">
        <w:rPr>
          <w:rFonts w:eastAsia="Times New Roman" w:cs="Times New Roman"/>
          <w:szCs w:val="24"/>
          <w:lang w:val="tr-TR" w:eastAsia="tr-TR"/>
        </w:rPr>
        <w:t xml:space="preserve">. Başvurucu yalnızca mesleğinden çıkarılmamış, aynı zamanda ömür boyu tüm kamu görevlerinden yasaklanmıştır. Sosyal Güvenlik Kurumu kayıtlarındaki şerh nedeniyle kamudan ihraç edilenlerin özel sektörde iş bulması, fiilen neredeyse imkânsız hâle getirilmiştir. Ayrıca, kamu görevine girme hakkının ötesine geçen ve </w:t>
      </w:r>
      <w:r w:rsidRPr="00AE7BC3">
        <w:rPr>
          <w:rFonts w:eastAsia="Times New Roman" w:cs="Times New Roman"/>
          <w:szCs w:val="24"/>
          <w:lang w:val="tr-TR" w:eastAsia="tr-TR"/>
        </w:rPr>
        <w:lastRenderedPageBreak/>
        <w:t>sürekli genişleyen düzenlemeler, öğrenci yurdu kuruculuğundan özel güvenlik sektörüne, taşımacılıktan burslara kadar birçok alanı “irtibatlı/iltisaklı” olamama şartına bağlamış; böylece başvurucunun hayatının tüm alanlarını kuşatan bir yasak rejimi ortaya çıkmıştır. Kamu görevinden çıkarma, bu nedenle tek başına bir disiplin tedbiri olmaktan çıkmış, başvurucunun özel hayatını doğrudan etkileyen, sınırları belirsiz ve sürekli yenilenen orantısız bir yaptırıma dönüşmüştür.</w:t>
      </w:r>
      <w:r w:rsidRPr="00AE7BC3">
        <w:rPr>
          <w:rStyle w:val="FootnoteReference"/>
          <w:rFonts w:eastAsia="Times New Roman" w:cs="Times New Roman"/>
          <w:szCs w:val="24"/>
          <w:lang w:val="tr-TR"/>
        </w:rPr>
        <w:footnoteReference w:id="9"/>
      </w:r>
    </w:p>
    <w:p w14:paraId="758EF3AB"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Üstelik kamuya açık biçimde “terörist” olarak damgalanması, sosyal ilişkilerini tamamen bozmuş ve onu adeta sosyal ölüme mahkûm etmiştir. Başvurucunun meslekten çıkarılma kararının, içinde isminin de bulunduğu liste ile Resmî Gazetede yayınlanmasının da demokratik bir toplumda kabul edilebilir bir gerekçesi bulunmamaktadır. Bir an için kararın ivedilikle kesinleştirilmesi pratik ihtiyacı ile hareket edildiği kabul edilse bile, başvurucunun kişisel itibarında oluşturduğu kalıcı ve sürekli tahribat </w:t>
      </w:r>
      <w:proofErr w:type="gramStart"/>
      <w:r w:rsidRPr="00AE7BC3">
        <w:rPr>
          <w:rFonts w:eastAsia="Times New Roman" w:cs="Times New Roman"/>
          <w:szCs w:val="24"/>
          <w:lang w:val="tr-TR" w:eastAsia="tr-TR"/>
        </w:rPr>
        <w:t>ile birlikte</w:t>
      </w:r>
      <w:proofErr w:type="gramEnd"/>
      <w:r w:rsidRPr="00AE7BC3">
        <w:rPr>
          <w:rFonts w:eastAsia="Times New Roman" w:cs="Times New Roman"/>
          <w:szCs w:val="24"/>
          <w:lang w:val="tr-TR" w:eastAsia="tr-TR"/>
        </w:rPr>
        <w:t xml:space="preserve"> değerlendirildiğinde, bu amaca masumiyet karinesi ihlal edilmeksizin, başka yöntemlerle ulaşmak pekâlâ mümkün olabilirdi. </w:t>
      </w:r>
    </w:p>
    <w:p w14:paraId="0826EC6D"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Öte yandan, başvurucunun demokratik toplumda kabulü mümkün olmayan ölçüde orantısız mağduriyetine neden olan meslekten çıkarılmasına ilişkin süreç, 8. madde ile teminat altına alınan menfaatlerini koruyacak şekilde ve usulü güvencelere riayet edilerek işletilmemiştir. Bu karar alınırken, ne hakkındaki delil, bilgi ve belgelerden başvurucuyu haberdar edip savunma imkânı vermiş ne de aldığı meslekten çıkarma kararında kişiselleştirme yaparak karara dayanak delilleri etkin bir yeniden inceleme talebinde bulunabilmesi için başvurucuya bildirmiştir.</w:t>
      </w:r>
    </w:p>
    <w:p w14:paraId="5848BB08"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Başvurucunun meslekten çıkarılması, öncesinde aksini kanıtlama imkânı tanınmadan özel ve mesleki yaşamına ilişkin verilerin toplanıp kullanılması ve kararın Resmî </w:t>
      </w:r>
      <w:proofErr w:type="spellStart"/>
      <w:r w:rsidRPr="00AE7BC3">
        <w:rPr>
          <w:rFonts w:eastAsia="Times New Roman" w:cs="Times New Roman"/>
          <w:szCs w:val="24"/>
          <w:lang w:val="tr-TR" w:eastAsia="tr-TR"/>
        </w:rPr>
        <w:t>Gazete’de</w:t>
      </w:r>
      <w:proofErr w:type="spellEnd"/>
      <w:r w:rsidRPr="00AE7BC3">
        <w:rPr>
          <w:rFonts w:eastAsia="Times New Roman" w:cs="Times New Roman"/>
          <w:szCs w:val="24"/>
          <w:lang w:val="tr-TR" w:eastAsia="tr-TR"/>
        </w:rPr>
        <w:t xml:space="preserve"> yayımlanması suretiyle özel hayata yapılan müdahale, doğurduğu orantısız sonuçlar ve karar alma sürecinin keyfî müdahaleye karşı etkin koruma sağlamaması nedeniyle </w:t>
      </w:r>
      <w:r w:rsidRPr="00AE7BC3">
        <w:rPr>
          <w:rFonts w:eastAsia="Times New Roman" w:cs="Times New Roman"/>
          <w:b/>
          <w:bCs/>
          <w:szCs w:val="24"/>
          <w:lang w:val="tr-TR" w:eastAsia="tr-TR"/>
        </w:rPr>
        <w:t>demokratik toplum gereklerine aykırıdır</w:t>
      </w:r>
      <w:r w:rsidRPr="00AE7BC3">
        <w:rPr>
          <w:rFonts w:eastAsia="Times New Roman" w:cs="Times New Roman"/>
          <w:szCs w:val="24"/>
          <w:lang w:val="tr-TR" w:eastAsia="tr-TR"/>
        </w:rPr>
        <w:t>.</w:t>
      </w:r>
    </w:p>
    <w:p w14:paraId="793C0CE7"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Başvurucu, hükümetin uzun süre sempatiyle yaklaştığı bir grupla soyut “irtibat ve iltisak” iddiaları temelinde kamu görevinden çıkarılmıştır. Oysa bu yapıyla devlet arasındaki ilişkiler 2013 yılı sonuna kadar olumluydu; dolayısıyla bu döneme </w:t>
      </w:r>
      <w:r w:rsidRPr="00AE7BC3">
        <w:rPr>
          <w:rFonts w:eastAsia="Times New Roman" w:cs="Times New Roman"/>
          <w:szCs w:val="24"/>
          <w:lang w:val="tr-TR"/>
        </w:rPr>
        <w:lastRenderedPageBreak/>
        <w:t xml:space="preserve">ait olguların ihraç gerekçesi yapılması hükümetin makul olmayan yaklaşımı ile dahi çelişmektedir. </w:t>
      </w:r>
    </w:p>
    <w:p w14:paraId="0FC7E272"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Başvurucunun şiddet, darbe veya hukuka aykırı eylemleri desteklediğine dair hiçbir delil yoktur; mesleki performansı yüksek, düzenli terfiler almış ve olumlu sicile sahiptir ve meslek yaşamı boyunca hiçbir şikâyet veya disiplin soruşturması geçirmemiştir. Kamu görevlisinin hükümet politikalarıyla aynı görüşte olmaması veya hükümetin olumsuz değerlendirmesine konu bir yapıyla geçmişte temasının bulunması, tek başına sadakat yükümlülüğünün ihlali olarak yorumlanamaz. Nitekim kamu görevlisinin sadakati, belirli bir hükümete ya da siyasi yönetime değil, anayasal düzene, demokratik değerlere ve hukukun üstünlüğüne yöneliktir (Bkz</w:t>
      </w:r>
      <w:r w:rsidRPr="00AE7BC3">
        <w:rPr>
          <w:rFonts w:eastAsia="Times New Roman" w:cs="Times New Roman"/>
          <w:i/>
          <w:iCs/>
          <w:szCs w:val="24"/>
          <w:lang w:val="tr-TR"/>
        </w:rPr>
        <w:t xml:space="preserve">. </w:t>
      </w:r>
      <w:proofErr w:type="spellStart"/>
      <w:r w:rsidRPr="00AE7BC3">
        <w:rPr>
          <w:rFonts w:eastAsia="Times New Roman" w:cs="Times New Roman"/>
          <w:i/>
          <w:iCs/>
          <w:szCs w:val="24"/>
          <w:lang w:val="tr-TR"/>
        </w:rPr>
        <w:t>Vogt</w:t>
      </w:r>
      <w:proofErr w:type="spellEnd"/>
      <w:r w:rsidRPr="00AE7BC3">
        <w:rPr>
          <w:rFonts w:eastAsia="Times New Roman" w:cs="Times New Roman"/>
          <w:szCs w:val="24"/>
          <w:lang w:val="tr-TR"/>
        </w:rPr>
        <w:t xml:space="preserve">; </w:t>
      </w:r>
      <w:proofErr w:type="gramStart"/>
      <w:r w:rsidRPr="00AE7BC3">
        <w:rPr>
          <w:rFonts w:eastAsia="Times New Roman" w:cs="Times New Roman"/>
          <w:i/>
          <w:iCs/>
          <w:szCs w:val="24"/>
          <w:lang w:val="tr-TR"/>
        </w:rPr>
        <w:t>Baka</w:t>
      </w:r>
      <w:r w:rsidRPr="00AE7BC3">
        <w:rPr>
          <w:rFonts w:eastAsia="Times New Roman" w:cs="Times New Roman"/>
          <w:szCs w:val="24"/>
          <w:lang w:val="tr-TR"/>
        </w:rPr>
        <w:t>;</w:t>
      </w:r>
      <w:proofErr w:type="gramEnd"/>
      <w:r w:rsidRPr="00AE7BC3">
        <w:rPr>
          <w:rFonts w:eastAsia="Times New Roman" w:cs="Times New Roman"/>
          <w:szCs w:val="24"/>
          <w:lang w:val="tr-TR"/>
        </w:rPr>
        <w:t xml:space="preserve"> </w:t>
      </w:r>
      <w:r w:rsidRPr="00AE7BC3">
        <w:rPr>
          <w:rFonts w:eastAsia="Times New Roman" w:cs="Times New Roman"/>
          <w:i/>
          <w:iCs/>
          <w:szCs w:val="24"/>
          <w:lang w:val="tr-TR"/>
        </w:rPr>
        <w:t>Bilgin</w:t>
      </w:r>
      <w:r w:rsidRPr="00AE7BC3">
        <w:rPr>
          <w:rFonts w:eastAsia="Times New Roman" w:cs="Times New Roman"/>
          <w:szCs w:val="24"/>
          <w:lang w:val="tr-TR"/>
        </w:rPr>
        <w:t>). Anayasa’nın 70. maddesi kamu hizmetine girme hakkını güvence altına almıştır; KHK yoluyla yürütülen toplu ihraç politikası bu hakkı keyfi biçimde ortadan kaldırmıştır. Başvurucuya yöneltilen soyut iddialar bireyselleştirilmemiş, somut kanıtla desteklenmemiştir; bu nedenle ihraç işlemi demokratik bir toplumda gerekli olmayan, meşru amaçtan yoksun ve orantısız bir müdahaledir.</w:t>
      </w:r>
    </w:p>
    <w:p w14:paraId="0246F1E1" w14:textId="77777777" w:rsidR="00AE7BC3" w:rsidRPr="00AE7BC3" w:rsidRDefault="00AE7BC3" w:rsidP="00AE7BC3">
      <w:pPr>
        <w:pStyle w:val="ListParagraph"/>
        <w:numPr>
          <w:ilvl w:val="0"/>
          <w:numId w:val="1"/>
        </w:numPr>
        <w:tabs>
          <w:tab w:val="left" w:pos="426"/>
        </w:tabs>
        <w:spacing w:before="0" w:after="0" w:line="360" w:lineRule="auto"/>
        <w:ind w:left="0" w:firstLine="0"/>
        <w:rPr>
          <w:rFonts w:eastAsia="Times New Roman" w:cs="Times New Roman"/>
          <w:szCs w:val="24"/>
          <w:lang w:val="tr-TR"/>
        </w:rPr>
      </w:pPr>
      <w:proofErr w:type="spellStart"/>
      <w:r w:rsidRPr="00AE7BC3">
        <w:rPr>
          <w:rFonts w:eastAsia="Times New Roman" w:cs="Times New Roman"/>
          <w:szCs w:val="24"/>
          <w:lang w:val="tr-TR"/>
        </w:rPr>
        <w:t>AİHS’in</w:t>
      </w:r>
      <w:proofErr w:type="spellEnd"/>
      <w:r w:rsidRPr="00AE7BC3">
        <w:rPr>
          <w:rFonts w:eastAsia="Times New Roman" w:cs="Times New Roman"/>
          <w:szCs w:val="24"/>
          <w:lang w:val="tr-TR"/>
        </w:rPr>
        <w:t xml:space="preserve"> 15. maddesi uyarınca olağanüstü koşullarda bazı kısıtlamalar öngörülebilse de başvurucu, hukuka aykırı hiçbir eylemi bulunmayan ve 15 Temmuz kalkışması ile hiçbir ilgisi olmayan, bu yönde bir iddia dahi ileri sürülmeyen, bir kamu görevlisidir. Buna rağmen, mesnetsiz şekilde anayasal düzene sadakat yükümlülüğünü yitirdiği kabul edilerek meslekten çıkarılmıştır; bu tedbir ne </w:t>
      </w:r>
      <w:proofErr w:type="spellStart"/>
      <w:r w:rsidRPr="00AE7BC3">
        <w:rPr>
          <w:rFonts w:eastAsia="Times New Roman" w:cs="Times New Roman"/>
          <w:szCs w:val="24"/>
          <w:lang w:val="tr-TR"/>
        </w:rPr>
        <w:t>AİHS’in</w:t>
      </w:r>
      <w:proofErr w:type="spellEnd"/>
      <w:r w:rsidRPr="00AE7BC3">
        <w:rPr>
          <w:rFonts w:eastAsia="Times New Roman" w:cs="Times New Roman"/>
          <w:szCs w:val="24"/>
          <w:lang w:val="tr-TR"/>
        </w:rPr>
        <w:t xml:space="preserve"> 8. maddesi bakımından gerekli ve orantılıdır ne de 15. madde kapsamında “durumun gerektirdiği” ölçüdedir</w:t>
      </w:r>
      <w:r w:rsidRPr="00AE7BC3">
        <w:rPr>
          <w:rFonts w:eastAsia="Times New Roman" w:cs="Times New Roman"/>
          <w:szCs w:val="24"/>
          <w:lang w:val="tr-TR" w:eastAsia="tr-TR"/>
        </w:rPr>
        <w:t>.</w:t>
      </w:r>
    </w:p>
    <w:p w14:paraId="76B9FCA2" w14:textId="77777777" w:rsidR="00AE7BC3" w:rsidRPr="00AE7BC3" w:rsidRDefault="00AE7BC3" w:rsidP="00AE7BC3">
      <w:pPr>
        <w:pStyle w:val="Heading2"/>
        <w:rPr>
          <w:rFonts w:cs="Times New Roman"/>
          <w:szCs w:val="24"/>
        </w:rPr>
      </w:pPr>
      <w:r w:rsidRPr="00AE7BC3">
        <w:rPr>
          <w:rFonts w:cs="Times New Roman"/>
          <w:szCs w:val="24"/>
        </w:rPr>
        <w:t xml:space="preserve">AİHS'ne Ek 1 </w:t>
      </w:r>
      <w:proofErr w:type="spellStart"/>
      <w:r w:rsidRPr="00AE7BC3">
        <w:rPr>
          <w:rFonts w:cs="Times New Roman"/>
          <w:szCs w:val="24"/>
        </w:rPr>
        <w:t>No'lu</w:t>
      </w:r>
      <w:proofErr w:type="spellEnd"/>
      <w:r w:rsidRPr="00AE7BC3">
        <w:rPr>
          <w:rFonts w:cs="Times New Roman"/>
          <w:szCs w:val="24"/>
        </w:rPr>
        <w:t xml:space="preserve"> Protokol m. 1- Mülkiyet hakkı ihlal edilmiştir.</w:t>
      </w:r>
    </w:p>
    <w:p w14:paraId="581DC006"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 xml:space="preserve">AİHM içtihatlarına göre, kamu görevlilerinin maaşları, emeklilik hakları, tazminat alacakları 1 </w:t>
      </w:r>
      <w:proofErr w:type="spellStart"/>
      <w:r w:rsidRPr="00AE7BC3">
        <w:rPr>
          <w:rFonts w:cs="Times New Roman"/>
          <w:szCs w:val="24"/>
          <w:lang w:val="tr-TR"/>
        </w:rPr>
        <w:t>No’lu</w:t>
      </w:r>
      <w:proofErr w:type="spellEnd"/>
      <w:r w:rsidRPr="00AE7BC3">
        <w:rPr>
          <w:rFonts w:cs="Times New Roman"/>
          <w:szCs w:val="24"/>
          <w:lang w:val="tr-TR"/>
        </w:rPr>
        <w:t xml:space="preserve"> Ek Protokolün 1. maddesi kapsamında “mülk” olarak değerlendirilmektedir (Örneğin </w:t>
      </w:r>
      <w:proofErr w:type="spellStart"/>
      <w:r w:rsidRPr="00AE7BC3">
        <w:rPr>
          <w:rFonts w:cs="Times New Roman"/>
          <w:szCs w:val="24"/>
          <w:lang w:val="tr-TR"/>
        </w:rPr>
        <w:t>Kjartan</w:t>
      </w:r>
      <w:proofErr w:type="spellEnd"/>
      <w:r w:rsidRPr="00AE7BC3">
        <w:rPr>
          <w:rFonts w:cs="Times New Roman"/>
          <w:szCs w:val="24"/>
          <w:lang w:val="tr-TR"/>
        </w:rPr>
        <w:t xml:space="preserve"> </w:t>
      </w:r>
      <w:proofErr w:type="spellStart"/>
      <w:r w:rsidRPr="00AE7BC3">
        <w:rPr>
          <w:rFonts w:cs="Times New Roman"/>
          <w:szCs w:val="24"/>
          <w:lang w:val="tr-TR"/>
        </w:rPr>
        <w:t>Ásmundsson</w:t>
      </w:r>
      <w:proofErr w:type="spellEnd"/>
      <w:r w:rsidRPr="00AE7BC3">
        <w:rPr>
          <w:rFonts w:cs="Times New Roman"/>
          <w:szCs w:val="24"/>
          <w:lang w:val="tr-TR"/>
        </w:rPr>
        <w:t xml:space="preserve">/İzlanda </w:t>
      </w:r>
      <w:proofErr w:type="spellStart"/>
      <w:r w:rsidRPr="00AE7BC3">
        <w:rPr>
          <w:rFonts w:cs="Times New Roman"/>
          <w:szCs w:val="24"/>
          <w:lang w:val="tr-TR"/>
        </w:rPr>
        <w:t>no</w:t>
      </w:r>
      <w:proofErr w:type="spellEnd"/>
      <w:r w:rsidRPr="00AE7BC3">
        <w:rPr>
          <w:rFonts w:cs="Times New Roman"/>
          <w:szCs w:val="24"/>
          <w:lang w:val="tr-TR"/>
        </w:rPr>
        <w:t xml:space="preserve">. 60669/00, 12.10.2004 § 39; Müller/Avusturya, </w:t>
      </w:r>
      <w:proofErr w:type="spellStart"/>
      <w:r w:rsidRPr="00AE7BC3">
        <w:rPr>
          <w:rFonts w:cs="Times New Roman"/>
          <w:szCs w:val="24"/>
          <w:lang w:val="tr-TR"/>
        </w:rPr>
        <w:t>no</w:t>
      </w:r>
      <w:proofErr w:type="spellEnd"/>
      <w:r w:rsidRPr="00AE7BC3">
        <w:rPr>
          <w:rFonts w:cs="Times New Roman"/>
          <w:szCs w:val="24"/>
          <w:lang w:val="tr-TR"/>
        </w:rPr>
        <w:t xml:space="preserve">. 5849/72, 01.10.1975; </w:t>
      </w:r>
      <w:proofErr w:type="spellStart"/>
      <w:r w:rsidRPr="00AE7BC3">
        <w:rPr>
          <w:rFonts w:cs="Times New Roman"/>
          <w:szCs w:val="24"/>
          <w:lang w:val="tr-TR"/>
        </w:rPr>
        <w:t>Kechko</w:t>
      </w:r>
      <w:proofErr w:type="spellEnd"/>
      <w:r w:rsidRPr="00AE7BC3">
        <w:rPr>
          <w:rFonts w:cs="Times New Roman"/>
          <w:szCs w:val="24"/>
          <w:lang w:val="tr-TR"/>
        </w:rPr>
        <w:t>/</w:t>
      </w:r>
      <w:proofErr w:type="spellStart"/>
      <w:r w:rsidRPr="00AE7BC3">
        <w:rPr>
          <w:rFonts w:cs="Times New Roman"/>
          <w:szCs w:val="24"/>
          <w:lang w:val="tr-TR"/>
        </w:rPr>
        <w:t>Ukraine</w:t>
      </w:r>
      <w:proofErr w:type="spellEnd"/>
      <w:r w:rsidRPr="00AE7BC3">
        <w:rPr>
          <w:rFonts w:cs="Times New Roman"/>
          <w:szCs w:val="24"/>
          <w:lang w:val="tr-TR"/>
        </w:rPr>
        <w:t xml:space="preserve">, </w:t>
      </w:r>
      <w:proofErr w:type="spellStart"/>
      <w:r w:rsidRPr="00AE7BC3">
        <w:rPr>
          <w:rFonts w:cs="Times New Roman"/>
          <w:szCs w:val="24"/>
          <w:lang w:val="tr-TR"/>
        </w:rPr>
        <w:t>no</w:t>
      </w:r>
      <w:proofErr w:type="spellEnd"/>
      <w:r w:rsidRPr="00AE7BC3">
        <w:rPr>
          <w:rFonts w:cs="Times New Roman"/>
          <w:szCs w:val="24"/>
          <w:lang w:val="tr-TR"/>
        </w:rPr>
        <w:t xml:space="preserve">. 63134/00, 08.112005). AİHM, </w:t>
      </w:r>
      <w:proofErr w:type="spellStart"/>
      <w:r w:rsidRPr="00AE7BC3">
        <w:rPr>
          <w:rFonts w:cs="Times New Roman"/>
          <w:i/>
          <w:iCs/>
          <w:szCs w:val="24"/>
          <w:lang w:val="tr-TR"/>
        </w:rPr>
        <w:t>Kjartan</w:t>
      </w:r>
      <w:proofErr w:type="spellEnd"/>
      <w:r w:rsidRPr="00AE7BC3">
        <w:rPr>
          <w:rFonts w:cs="Times New Roman"/>
          <w:i/>
          <w:iCs/>
          <w:szCs w:val="24"/>
          <w:lang w:val="tr-TR"/>
        </w:rPr>
        <w:t xml:space="preserve"> </w:t>
      </w:r>
      <w:proofErr w:type="spellStart"/>
      <w:r w:rsidRPr="00AE7BC3">
        <w:rPr>
          <w:rFonts w:cs="Times New Roman"/>
          <w:i/>
          <w:iCs/>
          <w:szCs w:val="24"/>
          <w:lang w:val="tr-TR"/>
        </w:rPr>
        <w:t>Ásmundsson</w:t>
      </w:r>
      <w:proofErr w:type="spellEnd"/>
      <w:r w:rsidRPr="00AE7BC3">
        <w:rPr>
          <w:rFonts w:cs="Times New Roman"/>
          <w:szCs w:val="24"/>
          <w:lang w:val="tr-TR"/>
        </w:rPr>
        <w:t xml:space="preserve"> kararında, sosyal güvenlik veya kamu görevliliği statüsünden doğan hakların, kamu yararı gerekçesiyle tamamen ortadan kaldırılması hâlinde “adil </w:t>
      </w:r>
      <w:proofErr w:type="spellStart"/>
      <w:r w:rsidRPr="00AE7BC3">
        <w:rPr>
          <w:rFonts w:cs="Times New Roman"/>
          <w:szCs w:val="24"/>
          <w:lang w:val="tr-TR"/>
        </w:rPr>
        <w:t>denge”nin</w:t>
      </w:r>
      <w:proofErr w:type="spellEnd"/>
      <w:r w:rsidRPr="00AE7BC3">
        <w:rPr>
          <w:rFonts w:cs="Times New Roman"/>
          <w:szCs w:val="24"/>
          <w:lang w:val="tr-TR"/>
        </w:rPr>
        <w:t xml:space="preserve"> bozulduğunu ve bireye “aşırı ve orantısız bir yük” yüklendiğini belirtmiştir. Mahkeme, reform niteliğindeki yasal </w:t>
      </w:r>
      <w:r w:rsidRPr="00AE7BC3">
        <w:rPr>
          <w:rFonts w:cs="Times New Roman"/>
          <w:szCs w:val="24"/>
          <w:lang w:val="tr-TR"/>
        </w:rPr>
        <w:lastRenderedPageBreak/>
        <w:t>değişikliklerin bile, kazanılmış hakların özünü ortadan kaldıracak ölçüde uygulanamayacağını vurgulamıştır.</w:t>
      </w:r>
    </w:p>
    <w:p w14:paraId="085C899D" w14:textId="77777777" w:rsidR="00AE7BC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Başvurucu yönünden, aylık maaşı yalnızca geleceğe dönük bir meşru beklenti değil; mevzuata uygun şekilde kazanılmış, düzenli ve sürekli nitelikte bir mülkiyet hakkıdır. Başvurucunun meslekten çıkarılmasıyla bu mülkiyet hakkına yapılan müdahale, kanunilik, öngörülebilirlik ve orantılılık ilkelerini ihlal etmiştir. KHK ile getirilen hükümler, geçmişteki varsayılan “irtibat veya iltisak” gerekçelerine dayanarak uygulanmış, başvurucunun bunu önceden öngörme imkânı bulunmamıştır. Ayrıca “irtibat” ve “iltisak” kavramları açık kriterlere dayanmamakta; hukuki belirlilikten yoksun, keyfî yorumlara müsait niteliktedir. Bu durum, mülkiyet hakkına yapılan müdahaleyi hem keyfî hem de orantısız hâle getirmiştir. İlgili düzenlemeler, bu keyfilikleri giderecek etkili mekanizmalar içermemektedir.</w:t>
      </w:r>
    </w:p>
    <w:p w14:paraId="0CB91608" w14:textId="4076D7C2" w:rsidR="00492203" w:rsidRPr="00AE7BC3" w:rsidRDefault="00AE7BC3" w:rsidP="00AE7BC3">
      <w:pPr>
        <w:pStyle w:val="ListParagraph"/>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Başvurucunun mülkiyet hakkına yapılan bu müdahale, kamu hizmetlerinden süresiz menedilmesi, sosyal güvenlik sisteminde “SGK kaydı” üzerinden özel sektörde çalışmasının da engellenmesiyle birleştiğinde, “aşırı ve orantısız yük” ölçütünü fazlasıyla aşmaktadır. Ulaşılmak istenen amaca, başvurucunun kazanılmış haklarını tamamen ortadan kaldırmadan, daha hafif tedbirlerle ulaşmak mümkündü. Örneğin başvurucu geçici olarak açığa alınabilir, yargılama süresince maaşının bir kısmını almaya devam edebilirdi. Benzer şekilde, önceki hizmetleri dikkate alınarak zorunlu emeklilik veya kısmi maaş kesintisi gibi yöntemlerle hem kamu yararı hem de bireyin mülkiyet hakkı arasında adil bir denge sağlanabilirdi.</w:t>
      </w:r>
    </w:p>
    <w:sectPr w:rsidR="00492203" w:rsidRPr="00AE7BC3" w:rsidSect="00AE7BC3">
      <w:footerReference w:type="default" r:id="rId8"/>
      <w:pgSz w:w="11906" w:h="16838"/>
      <w:pgMar w:top="1531" w:right="1985" w:bottom="153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53F13" w14:textId="77777777" w:rsidR="007D3DD8" w:rsidRDefault="007D3DD8" w:rsidP="0047221A">
      <w:pPr>
        <w:spacing w:before="0" w:after="0" w:line="240" w:lineRule="auto"/>
      </w:pPr>
      <w:r>
        <w:separator/>
      </w:r>
    </w:p>
  </w:endnote>
  <w:endnote w:type="continuationSeparator" w:id="0">
    <w:p w14:paraId="29E0FED6" w14:textId="77777777" w:rsidR="007D3DD8" w:rsidRDefault="007D3DD8" w:rsidP="004722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BE3B" w14:textId="55A79950" w:rsidR="0047221A" w:rsidRDefault="0047221A" w:rsidP="0047221A">
    <w:pPr>
      <w:pStyle w:val="Footer"/>
      <w:jc w:val="center"/>
    </w:pPr>
    <w:r>
      <w:fldChar w:fldCharType="begin"/>
    </w:r>
    <w:r>
      <w:instrText xml:space="preserve"> PAGE  \* Arabic  \* MERGEFORMAT </w:instrText>
    </w:r>
    <w:r>
      <w:fldChar w:fldCharType="separate"/>
    </w:r>
    <w:r>
      <w:rPr>
        <w:noProof/>
      </w:rPr>
      <w:t>1</w:t>
    </w:r>
    <w:r>
      <w:fldChar w:fldCharType="end"/>
    </w:r>
    <w:r>
      <w:t xml:space="preserve"> | </w:t>
    </w:r>
    <w:fldSimple w:instr=" NUMPAGES  \* Arabic  \* MERGEFORMAT ">
      <w:r>
        <w:rPr>
          <w:noProof/>
        </w:rPr>
        <w:t>15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E1C6D" w14:textId="77777777" w:rsidR="007D3DD8" w:rsidRDefault="007D3DD8" w:rsidP="0047221A">
      <w:pPr>
        <w:spacing w:before="0" w:after="0" w:line="240" w:lineRule="auto"/>
      </w:pPr>
      <w:r>
        <w:separator/>
      </w:r>
    </w:p>
  </w:footnote>
  <w:footnote w:type="continuationSeparator" w:id="0">
    <w:p w14:paraId="2E0B016A" w14:textId="77777777" w:rsidR="007D3DD8" w:rsidRDefault="007D3DD8" w:rsidP="0047221A">
      <w:pPr>
        <w:spacing w:before="0" w:after="0" w:line="240" w:lineRule="auto"/>
      </w:pPr>
      <w:r>
        <w:continuationSeparator/>
      </w:r>
    </w:p>
  </w:footnote>
  <w:footnote w:id="1">
    <w:p w14:paraId="70E8B3CD" w14:textId="77777777" w:rsidR="00AE7BC3" w:rsidRPr="008E7653" w:rsidRDefault="00AE7BC3" w:rsidP="00AE7BC3">
      <w:pPr>
        <w:pStyle w:val="FootnoteText"/>
        <w:jc w:val="both"/>
        <w:rPr>
          <w:rFonts w:ascii="Times New Roman" w:hAnsi="Times New Roman" w:cs="Times New Roman"/>
        </w:rPr>
      </w:pPr>
      <w:r w:rsidRPr="008E7653">
        <w:rPr>
          <w:rStyle w:val="FootnoteReference"/>
          <w:rFonts w:ascii="Times New Roman" w:hAnsi="Times New Roman" w:cs="Times New Roman"/>
        </w:rPr>
        <w:footnoteRef/>
      </w:r>
      <w:r w:rsidRPr="008E7653">
        <w:rPr>
          <w:rFonts w:ascii="Times New Roman" w:hAnsi="Times New Roman" w:cs="Times New Roman"/>
        </w:rPr>
        <w:t xml:space="preserve"> </w:t>
      </w:r>
      <w:hyperlink r:id="rId1" w:history="1">
        <w:r w:rsidRPr="008E7653">
          <w:rPr>
            <w:rStyle w:val="Hyperlink"/>
            <w:rFonts w:ascii="Times New Roman" w:hAnsi="Times New Roman" w:cs="Times New Roman"/>
          </w:rPr>
          <w:t>http://www.ab.gov.tr/files/5%20Ekim/son__2016_ilerleme_raporu_tr.pdf</w:t>
        </w:r>
      </w:hyperlink>
      <w:r w:rsidRPr="008E7653">
        <w:rPr>
          <w:rFonts w:ascii="Times New Roman" w:hAnsi="Times New Roman" w:cs="Times New Roman"/>
        </w:rPr>
        <w:t xml:space="preserve"> </w:t>
      </w:r>
    </w:p>
    <w:p w14:paraId="2A46BDA7" w14:textId="77777777" w:rsidR="00AE7BC3" w:rsidRPr="008E7653" w:rsidRDefault="00AE7BC3" w:rsidP="00AE7BC3">
      <w:pPr>
        <w:pStyle w:val="FootnoteText"/>
        <w:jc w:val="both"/>
        <w:rPr>
          <w:rFonts w:ascii="Times New Roman" w:hAnsi="Times New Roman" w:cs="Times New Roman"/>
        </w:rPr>
      </w:pPr>
      <w:r w:rsidRPr="008E7653">
        <w:rPr>
          <w:rFonts w:ascii="Times New Roman" w:hAnsi="Times New Roman" w:cs="Times New Roman"/>
        </w:rPr>
        <w:t>Türkiye’de yargı bağımsızlığı sorununa dair çok sayıda güvenilir rapordan bazılarına aşağıdaki linklerden ulaşılabilir:</w:t>
      </w:r>
    </w:p>
    <w:p w14:paraId="76E68502" w14:textId="77777777" w:rsidR="00AE7BC3" w:rsidRPr="008E7653" w:rsidRDefault="00AE7BC3" w:rsidP="00AE7BC3">
      <w:pPr>
        <w:pStyle w:val="FootnoteText"/>
        <w:rPr>
          <w:rFonts w:ascii="Times New Roman" w:hAnsi="Times New Roman" w:cs="Times New Roman"/>
          <w:lang w:val="en-GB"/>
        </w:rPr>
      </w:pPr>
      <w:r w:rsidRPr="008E7653">
        <w:rPr>
          <w:rFonts w:ascii="Times New Roman" w:hAnsi="Times New Roman" w:cs="Times New Roman"/>
          <w:lang w:val="en-GB"/>
        </w:rPr>
        <w:t xml:space="preserve">International Commission of Jurist (ICJ), ‘Turkey: the Judicial System in Peril: A briefing paper’, 2016, </w:t>
      </w:r>
      <w:hyperlink r:id="rId2" w:history="1">
        <w:r w:rsidRPr="008E7653">
          <w:rPr>
            <w:rStyle w:val="Hyperlink"/>
            <w:rFonts w:ascii="Times New Roman" w:hAnsi="Times New Roman" w:cs="Times New Roman"/>
            <w:lang w:val="en-GB"/>
          </w:rPr>
          <w:t>https://www.icj.org/wp-content/uploads/2016/07/Turkey-Judiciary-in-Peril-Publications-Reports-Fact-Findings-Mission-Reports-2016-ENG.pdf</w:t>
        </w:r>
      </w:hyperlink>
      <w:r w:rsidRPr="008E7653">
        <w:rPr>
          <w:rFonts w:ascii="Times New Roman" w:hAnsi="Times New Roman" w:cs="Times New Roman"/>
          <w:lang w:val="en-GB"/>
        </w:rPr>
        <w:t xml:space="preserve"> </w:t>
      </w:r>
    </w:p>
    <w:p w14:paraId="048999A9" w14:textId="77777777" w:rsidR="00AE7BC3" w:rsidRPr="008E7653" w:rsidRDefault="00AE7BC3" w:rsidP="00AE7BC3">
      <w:pPr>
        <w:pStyle w:val="FootnoteText"/>
        <w:rPr>
          <w:rFonts w:ascii="Times New Roman" w:hAnsi="Times New Roman" w:cs="Times New Roman"/>
          <w:lang w:val="en-GB"/>
        </w:rPr>
      </w:pPr>
      <w:r w:rsidRPr="008E7653">
        <w:rPr>
          <w:rFonts w:ascii="Times New Roman" w:hAnsi="Times New Roman" w:cs="Times New Roman"/>
          <w:lang w:val="en-GB"/>
        </w:rPr>
        <w:t xml:space="preserve">Venice Commission Opinion No. 875/2017, </w:t>
      </w:r>
      <w:hyperlink r:id="rId3" w:history="1">
        <w:r w:rsidRPr="008E7653">
          <w:rPr>
            <w:rStyle w:val="Hyperlink"/>
            <w:rFonts w:ascii="Times New Roman" w:hAnsi="Times New Roman" w:cs="Times New Roman"/>
            <w:lang w:val="en-GB"/>
          </w:rPr>
          <w:t>https://www.venice.coe.int/webforms/documents/default.aspx?pdffile=CDL-AD(2017)005-e</w:t>
        </w:r>
      </w:hyperlink>
    </w:p>
    <w:p w14:paraId="2DD8ACA8" w14:textId="77777777" w:rsidR="00AE7BC3" w:rsidRPr="008E7653" w:rsidRDefault="00AE7BC3" w:rsidP="00AE7BC3">
      <w:pPr>
        <w:pStyle w:val="FootnoteText"/>
        <w:rPr>
          <w:rFonts w:ascii="Times New Roman" w:hAnsi="Times New Roman" w:cs="Times New Roman"/>
          <w:lang w:val="en-GB"/>
        </w:rPr>
      </w:pPr>
      <w:r w:rsidRPr="008E7653">
        <w:rPr>
          <w:rFonts w:ascii="Times New Roman" w:hAnsi="Times New Roman" w:cs="Times New Roman"/>
          <w:lang w:val="en-GB"/>
        </w:rPr>
        <w:t>International Commission of Jurist (ICJ), ‘</w:t>
      </w:r>
      <w:r w:rsidRPr="008E7653">
        <w:rPr>
          <w:rFonts w:ascii="Times New Roman" w:hAnsi="Times New Roman" w:cs="Times New Roman"/>
        </w:rPr>
        <w:t>Askıya alınan adalet: Adalete Erişim ve Türkiye’ de Olağanüstü Hal’</w:t>
      </w:r>
      <w:r w:rsidRPr="008E7653">
        <w:rPr>
          <w:rFonts w:ascii="Times New Roman" w:hAnsi="Times New Roman" w:cs="Times New Roman"/>
          <w:lang w:val="en-GB"/>
        </w:rPr>
        <w:t xml:space="preserve">, 2018, </w:t>
      </w:r>
      <w:hyperlink r:id="rId4" w:history="1">
        <w:r w:rsidRPr="008E7653">
          <w:rPr>
            <w:rStyle w:val="Hyperlink"/>
            <w:rFonts w:ascii="Times New Roman" w:hAnsi="Times New Roman" w:cs="Times New Roman"/>
            <w:lang w:val="en-GB"/>
          </w:rPr>
          <w:t>https://www.icj.org/wp-content/uploads/2018/12/Turkey-Access-to-justice-Publications-Reports-2018-TUR.pdf?utm</w:t>
        </w:r>
      </w:hyperlink>
      <w:r w:rsidRPr="008E7653">
        <w:rPr>
          <w:rFonts w:ascii="Times New Roman" w:hAnsi="Times New Roman" w:cs="Times New Roman"/>
          <w:lang w:val="en-GB"/>
        </w:rPr>
        <w:t xml:space="preserve"> </w:t>
      </w:r>
    </w:p>
    <w:p w14:paraId="6C646EB6" w14:textId="77777777" w:rsidR="00AE7BC3" w:rsidRPr="008E7653" w:rsidRDefault="00AE7BC3" w:rsidP="00AE7BC3">
      <w:pPr>
        <w:pStyle w:val="FootnoteText"/>
        <w:rPr>
          <w:rFonts w:ascii="Times New Roman" w:hAnsi="Times New Roman" w:cs="Times New Roman"/>
          <w:lang w:val="en-GB"/>
        </w:rPr>
      </w:pPr>
      <w:r w:rsidRPr="008E7653">
        <w:rPr>
          <w:rFonts w:ascii="Times New Roman" w:hAnsi="Times New Roman" w:cs="Times New Roman"/>
          <w:lang w:val="en-GB"/>
        </w:rPr>
        <w:t xml:space="preserve">Commissioner For Human Rights of the Council Of Europe, Report Following her Visit to Turkey from 1 to 5 July 2019, 2020, </w:t>
      </w:r>
      <w:hyperlink r:id="rId5" w:history="1">
        <w:r w:rsidRPr="008E7653">
          <w:rPr>
            <w:rStyle w:val="Hyperlink"/>
            <w:rFonts w:ascii="Times New Roman" w:hAnsi="Times New Roman" w:cs="Times New Roman"/>
            <w:lang w:val="en-GB"/>
          </w:rPr>
          <w:t>https://rm.coe.int/report-on-the-visit-to-turkey-by-dunja-mijatovic-council-of-europe-com/168099823e</w:t>
        </w:r>
      </w:hyperlink>
      <w:r w:rsidRPr="008E7653">
        <w:rPr>
          <w:rFonts w:ascii="Times New Roman" w:hAnsi="Times New Roman" w:cs="Times New Roman"/>
          <w:lang w:val="en-GB"/>
        </w:rPr>
        <w:t xml:space="preserve"> </w:t>
      </w:r>
    </w:p>
    <w:p w14:paraId="63F83978" w14:textId="77777777" w:rsidR="00AE7BC3" w:rsidRPr="008E7653" w:rsidRDefault="00AE7BC3" w:rsidP="00AE7BC3">
      <w:pPr>
        <w:pStyle w:val="FootnoteText"/>
        <w:rPr>
          <w:rFonts w:ascii="Times New Roman" w:hAnsi="Times New Roman" w:cs="Times New Roman"/>
          <w:lang w:val="en-GB"/>
        </w:rPr>
      </w:pPr>
      <w:r w:rsidRPr="008E7653">
        <w:rPr>
          <w:rFonts w:ascii="Times New Roman" w:hAnsi="Times New Roman" w:cs="Times New Roman"/>
          <w:lang w:val="en-GB"/>
        </w:rPr>
        <w:t xml:space="preserve">Transparency International, ‘Examining State Capture Undue Influence on Law-Making and the Judiciary in the Western Balkans and Turkey’, 2020, </w:t>
      </w:r>
      <w:hyperlink r:id="rId6" w:history="1">
        <w:r w:rsidRPr="008E7653">
          <w:rPr>
            <w:rStyle w:val="Hyperlink"/>
            <w:rFonts w:ascii="Times New Roman" w:hAnsi="Times New Roman" w:cs="Times New Roman"/>
            <w:lang w:val="en-GB"/>
          </w:rPr>
          <w:t>https://images.transparencycdn.org/images/2020_Report_ExaminingStateCapture_English.pdf</w:t>
        </w:r>
      </w:hyperlink>
      <w:r w:rsidRPr="008E7653">
        <w:rPr>
          <w:rFonts w:ascii="Times New Roman" w:hAnsi="Times New Roman" w:cs="Times New Roman"/>
          <w:lang w:val="en-GB"/>
        </w:rPr>
        <w:t xml:space="preserve"> </w:t>
      </w:r>
    </w:p>
    <w:p w14:paraId="44C1AC73" w14:textId="77777777" w:rsidR="00AE7BC3" w:rsidRPr="008E7653" w:rsidRDefault="00AE7BC3" w:rsidP="00AE7BC3">
      <w:pPr>
        <w:pStyle w:val="FootnoteText"/>
        <w:rPr>
          <w:rFonts w:ascii="Times New Roman" w:hAnsi="Times New Roman" w:cs="Times New Roman"/>
          <w:lang w:val="en-GB"/>
        </w:rPr>
      </w:pPr>
      <w:r w:rsidRPr="008E7653">
        <w:rPr>
          <w:rFonts w:ascii="Times New Roman" w:hAnsi="Times New Roman" w:cs="Times New Roman"/>
          <w:lang w:val="en-GB"/>
        </w:rPr>
        <w:t xml:space="preserve">Venice Commission Opinion No. 1196/2024, </w:t>
      </w:r>
      <w:hyperlink r:id="rId7" w:history="1">
        <w:r w:rsidRPr="008E7653">
          <w:rPr>
            <w:rStyle w:val="Hyperlink"/>
            <w:rFonts w:ascii="Times New Roman" w:hAnsi="Times New Roman" w:cs="Times New Roman"/>
            <w:lang w:val="en-GB"/>
          </w:rPr>
          <w:t>https://www.venice.coe.int/webforms/documents/default.aspx?pdffile=CDL-AD(2024)041-e</w:t>
        </w:r>
      </w:hyperlink>
    </w:p>
  </w:footnote>
  <w:footnote w:id="2">
    <w:p w14:paraId="55019B48" w14:textId="77777777" w:rsidR="00AE7BC3" w:rsidRPr="008E7653" w:rsidRDefault="00AE7BC3" w:rsidP="00AE7BC3">
      <w:pPr>
        <w:pStyle w:val="FootnoteText"/>
        <w:jc w:val="both"/>
        <w:rPr>
          <w:rFonts w:ascii="Times New Roman" w:hAnsi="Times New Roman" w:cs="Times New Roman"/>
        </w:rPr>
      </w:pPr>
      <w:r w:rsidRPr="008E7653">
        <w:rPr>
          <w:rStyle w:val="FootnoteReference"/>
          <w:rFonts w:ascii="Times New Roman" w:hAnsi="Times New Roman" w:cs="Times New Roman"/>
        </w:rPr>
        <w:footnoteRef/>
      </w:r>
      <w:r w:rsidRPr="008E7653">
        <w:rPr>
          <w:rFonts w:ascii="Times New Roman" w:hAnsi="Times New Roman" w:cs="Times New Roman"/>
        </w:rPr>
        <w:t xml:space="preserve"> </w:t>
      </w:r>
      <w:hyperlink r:id="rId8" w:history="1">
        <w:r w:rsidRPr="008E7653">
          <w:rPr>
            <w:rStyle w:val="Hyperlink"/>
            <w:rFonts w:ascii="Times New Roman" w:hAnsi="Times New Roman" w:cs="Times New Roman"/>
          </w:rPr>
          <w:t>https://www.aa.com.tr/tr/turkiye/feto-ile-mucadele-edenler-yuksek-yargic-oldu-/1205829</w:t>
        </w:r>
      </w:hyperlink>
    </w:p>
  </w:footnote>
  <w:footnote w:id="3">
    <w:p w14:paraId="39AEFB63" w14:textId="77777777" w:rsidR="00AE7BC3" w:rsidRPr="008E7653" w:rsidRDefault="00AE7BC3" w:rsidP="00AE7BC3">
      <w:pPr>
        <w:pStyle w:val="FootnoteText"/>
        <w:jc w:val="both"/>
        <w:rPr>
          <w:rFonts w:ascii="Times New Roman" w:hAnsi="Times New Roman" w:cs="Times New Roman"/>
        </w:rPr>
      </w:pPr>
      <w:r w:rsidRPr="008E7653">
        <w:rPr>
          <w:rStyle w:val="FootnoteReference"/>
          <w:rFonts w:ascii="Times New Roman" w:hAnsi="Times New Roman" w:cs="Times New Roman"/>
        </w:rPr>
        <w:footnoteRef/>
      </w:r>
      <w:r w:rsidRPr="008E7653">
        <w:rPr>
          <w:rFonts w:ascii="Times New Roman" w:hAnsi="Times New Roman" w:cs="Times New Roman"/>
        </w:rPr>
        <w:t xml:space="preserve"> </w:t>
      </w:r>
      <w:hyperlink r:id="rId9" w:history="1">
        <w:r w:rsidRPr="008E7653">
          <w:rPr>
            <w:rStyle w:val="Hyperlink"/>
            <w:rFonts w:ascii="Times New Roman" w:hAnsi="Times New Roman" w:cs="Times New Roman"/>
          </w:rPr>
          <w:t>https://www.denizlimuhabir.com/denizlim-danistay-uyesi-yunus-aykin-i-konuk-etti/3155</w:t>
        </w:r>
      </w:hyperlink>
    </w:p>
  </w:footnote>
  <w:footnote w:id="4">
    <w:p w14:paraId="08EEE3D4" w14:textId="77777777" w:rsidR="00AE7BC3" w:rsidRPr="008E7653" w:rsidRDefault="00AE7BC3" w:rsidP="00AE7BC3">
      <w:pPr>
        <w:pStyle w:val="FootnoteText"/>
        <w:rPr>
          <w:rFonts w:ascii="Times New Roman" w:hAnsi="Times New Roman" w:cs="Times New Roman"/>
        </w:rPr>
      </w:pPr>
      <w:r w:rsidRPr="008E7653">
        <w:rPr>
          <w:rStyle w:val="FootnoteReference"/>
          <w:rFonts w:ascii="Times New Roman" w:hAnsi="Times New Roman" w:cs="Times New Roman"/>
        </w:rPr>
        <w:footnoteRef/>
      </w:r>
      <w:r w:rsidRPr="008E7653">
        <w:rPr>
          <w:rFonts w:ascii="Times New Roman" w:hAnsi="Times New Roman" w:cs="Times New Roman"/>
        </w:rPr>
        <w:t xml:space="preserve"> </w:t>
      </w:r>
      <w:hyperlink r:id="rId10" w:history="1">
        <w:r w:rsidRPr="008E7653">
          <w:rPr>
            <w:rStyle w:val="Hyperlink"/>
            <w:rFonts w:ascii="Times New Roman" w:hAnsi="Times New Roman" w:cs="Times New Roman"/>
          </w:rPr>
          <w:t>https://www.haberler.com/feto-nun-yargi-icerisindeki-gucu-2014-te-kirildi-9748531-haberi/</w:t>
        </w:r>
      </w:hyperlink>
      <w:r w:rsidRPr="008E7653">
        <w:rPr>
          <w:rFonts w:ascii="Times New Roman" w:hAnsi="Times New Roman" w:cs="Times New Roman"/>
        </w:rPr>
        <w:t xml:space="preserve">, </w:t>
      </w:r>
      <w:hyperlink r:id="rId11" w:history="1">
        <w:r w:rsidRPr="008E7653">
          <w:rPr>
            <w:rStyle w:val="Hyperlink"/>
            <w:rFonts w:ascii="Times New Roman" w:hAnsi="Times New Roman" w:cs="Times New Roman"/>
          </w:rPr>
          <w:t>https://www.haberler.com/guncel/yargida-birlik-dernegi-baskani-heybet-aciklamasi-9730775-haberi/</w:t>
        </w:r>
      </w:hyperlink>
      <w:r w:rsidRPr="008E7653">
        <w:rPr>
          <w:rFonts w:ascii="Times New Roman" w:hAnsi="Times New Roman" w:cs="Times New Roman"/>
        </w:rPr>
        <w:t xml:space="preserve">, </w:t>
      </w:r>
      <w:hyperlink r:id="rId12" w:history="1">
        <w:r w:rsidRPr="008E7653">
          <w:rPr>
            <w:rStyle w:val="Hyperlink"/>
            <w:rFonts w:ascii="Times New Roman" w:hAnsi="Times New Roman" w:cs="Times New Roman"/>
          </w:rPr>
          <w:t>https://www.aa.com.tr/tr/15-temmuz-darbe-girisimi/magduriyet-algisi-ihanetin-perdelenmesi-icin-ozel-calismadir/908987</w:t>
        </w:r>
      </w:hyperlink>
      <w:r w:rsidRPr="008E7653">
        <w:rPr>
          <w:rFonts w:ascii="Times New Roman" w:hAnsi="Times New Roman" w:cs="Times New Roman"/>
        </w:rPr>
        <w:t xml:space="preserve">, </w:t>
      </w:r>
      <w:hyperlink r:id="rId13" w:history="1">
        <w:r w:rsidRPr="008E7653">
          <w:rPr>
            <w:rStyle w:val="Hyperlink"/>
            <w:rFonts w:ascii="Times New Roman" w:hAnsi="Times New Roman" w:cs="Times New Roman"/>
          </w:rPr>
          <w:t>https://www.dha.com.tr/gundem/ybd-baskani-heybet-hsk-bu-yapiyla-mucadelesini-surduruyor-1574311</w:t>
        </w:r>
      </w:hyperlink>
    </w:p>
  </w:footnote>
  <w:footnote w:id="5">
    <w:p w14:paraId="4FA6EDD8" w14:textId="77777777" w:rsidR="00AE7BC3" w:rsidRPr="008E7653" w:rsidRDefault="00AE7BC3" w:rsidP="00AE7BC3">
      <w:pPr>
        <w:pStyle w:val="FootnoteText"/>
        <w:jc w:val="both"/>
        <w:rPr>
          <w:rFonts w:ascii="Times New Roman" w:hAnsi="Times New Roman" w:cs="Times New Roman"/>
        </w:rPr>
      </w:pPr>
      <w:r w:rsidRPr="008E7653">
        <w:rPr>
          <w:rStyle w:val="FootnoteReference"/>
          <w:rFonts w:ascii="Times New Roman" w:hAnsi="Times New Roman" w:cs="Times New Roman"/>
        </w:rPr>
        <w:footnoteRef/>
      </w:r>
      <w:r w:rsidRPr="008E7653">
        <w:rPr>
          <w:rFonts w:ascii="Times New Roman" w:hAnsi="Times New Roman" w:cs="Times New Roman"/>
        </w:rPr>
        <w:t xml:space="preserve"> </w:t>
      </w:r>
      <w:hyperlink r:id="rId14" w:history="1">
        <w:r w:rsidRPr="008E7653">
          <w:rPr>
            <w:rStyle w:val="Hyperlink"/>
            <w:rFonts w:ascii="Times New Roman" w:hAnsi="Times New Roman" w:cs="Times New Roman"/>
          </w:rPr>
          <w:t>https://www.sabah.com.tr/gundem/2024/02/12/450-hakim-savci-krizi</w:t>
        </w:r>
      </w:hyperlink>
    </w:p>
  </w:footnote>
  <w:footnote w:id="6">
    <w:p w14:paraId="51FF494A" w14:textId="77777777" w:rsidR="00AE7BC3" w:rsidRPr="008E7653" w:rsidRDefault="00AE7BC3" w:rsidP="00AE7BC3">
      <w:pPr>
        <w:pStyle w:val="FootnoteText"/>
        <w:rPr>
          <w:rFonts w:ascii="Times New Roman" w:hAnsi="Times New Roman" w:cs="Times New Roman"/>
        </w:rPr>
      </w:pPr>
      <w:r w:rsidRPr="008E7653">
        <w:rPr>
          <w:rStyle w:val="FootnoteReference"/>
          <w:rFonts w:ascii="Times New Roman" w:hAnsi="Times New Roman" w:cs="Times New Roman"/>
        </w:rPr>
        <w:footnoteRef/>
      </w:r>
      <w:r w:rsidRPr="008E7653">
        <w:rPr>
          <w:rFonts w:ascii="Times New Roman" w:hAnsi="Times New Roman" w:cs="Times New Roman"/>
        </w:rPr>
        <w:t xml:space="preserve"> </w:t>
      </w:r>
      <w:hyperlink r:id="rId15" w:history="1">
        <w:r w:rsidRPr="008E7653">
          <w:rPr>
            <w:rStyle w:val="Hyperlink"/>
            <w:rFonts w:ascii="Times New Roman" w:hAnsi="Times New Roman" w:cs="Times New Roman"/>
          </w:rPr>
          <w:t>https://www.sabah.com.tr/gundem/2024/02/15/son-dakika-danistay-fetoden-ihrac-edilen-hakim-ve-savcilari-goreve-iade-etmisti-baskan-erdogandan-sert-tepki-sessiz-kalamayiz?paging=2</w:t>
        </w:r>
      </w:hyperlink>
    </w:p>
  </w:footnote>
  <w:footnote w:id="7">
    <w:p w14:paraId="49AB8335" w14:textId="77777777" w:rsidR="00AE7BC3" w:rsidRPr="008E7653" w:rsidRDefault="00AE7BC3" w:rsidP="00AE7BC3">
      <w:pPr>
        <w:pStyle w:val="FootnoteText"/>
        <w:rPr>
          <w:rFonts w:ascii="Times New Roman" w:hAnsi="Times New Roman" w:cs="Times New Roman"/>
        </w:rPr>
      </w:pPr>
      <w:r w:rsidRPr="008E7653">
        <w:rPr>
          <w:rStyle w:val="FootnoteReference"/>
          <w:rFonts w:ascii="Times New Roman" w:hAnsi="Times New Roman" w:cs="Times New Roman"/>
        </w:rPr>
        <w:footnoteRef/>
      </w:r>
      <w:r w:rsidRPr="008E7653">
        <w:rPr>
          <w:rFonts w:ascii="Times New Roman" w:hAnsi="Times New Roman" w:cs="Times New Roman"/>
        </w:rPr>
        <w:t xml:space="preserve"> </w:t>
      </w:r>
      <w:hyperlink r:id="rId16" w:history="1">
        <w:r w:rsidRPr="008E7653">
          <w:rPr>
            <w:rStyle w:val="Hyperlink"/>
            <w:rFonts w:ascii="Times New Roman" w:hAnsi="Times New Roman" w:cs="Times New Roman"/>
          </w:rPr>
          <w:t>https://justicesquare.org/wp-content/uploads/2025/10/ANAYASA-MAHKEMESININ-GUNCEL-YARGILAMALAR-KAPSAMINDA-YAPILAN-BASVURULARDA-TARAFSIZLIK-BAGIMSIZLIK-VE-ETKILILIK-SORUNSALI.pdf</w:t>
        </w:r>
      </w:hyperlink>
      <w:r w:rsidRPr="008E7653">
        <w:rPr>
          <w:rFonts w:ascii="Times New Roman" w:hAnsi="Times New Roman" w:cs="Times New Roman"/>
        </w:rPr>
        <w:t xml:space="preserve"> </w:t>
      </w:r>
    </w:p>
  </w:footnote>
  <w:footnote w:id="8">
    <w:p w14:paraId="53D57499" w14:textId="77777777" w:rsidR="00AE7BC3" w:rsidRPr="00AE7BC3" w:rsidRDefault="00AE7BC3" w:rsidP="00AE7BC3">
      <w:pPr>
        <w:rPr>
          <w:rFonts w:cs="Times New Roman"/>
          <w:sz w:val="20"/>
          <w:szCs w:val="20"/>
          <w:lang w:val="tr"/>
        </w:rPr>
      </w:pPr>
      <w:r w:rsidRPr="008E7653">
        <w:rPr>
          <w:rStyle w:val="FootnoteReference"/>
          <w:rFonts w:cs="Times New Roman"/>
          <w:sz w:val="20"/>
          <w:szCs w:val="20"/>
        </w:rPr>
        <w:footnoteRef/>
      </w:r>
      <w:r w:rsidRPr="00AE7BC3">
        <w:rPr>
          <w:rFonts w:cs="Times New Roman"/>
          <w:sz w:val="20"/>
          <w:szCs w:val="20"/>
          <w:lang w:val="tr"/>
        </w:rPr>
        <w:t xml:space="preserve"> Samet Saygı, Anayasa ve İnsan Hakları Hukuku Açısından Olağanüstü Tedbirle Kamu Görevinden Çıkarılma, Yetkin Yayınları, 2025.</w:t>
      </w:r>
    </w:p>
  </w:footnote>
  <w:footnote w:id="9">
    <w:p w14:paraId="3EE70473" w14:textId="77777777" w:rsidR="00AE7BC3" w:rsidRPr="008E7653" w:rsidRDefault="00AE7BC3" w:rsidP="00AE7BC3">
      <w:pPr>
        <w:rPr>
          <w:rFonts w:cs="Times New Roman"/>
          <w:sz w:val="20"/>
          <w:szCs w:val="20"/>
        </w:rPr>
      </w:pPr>
      <w:r w:rsidRPr="008E7653">
        <w:rPr>
          <w:rStyle w:val="FootnoteReference"/>
          <w:rFonts w:cs="Times New Roman"/>
          <w:sz w:val="20"/>
          <w:szCs w:val="20"/>
        </w:rPr>
        <w:footnoteRef/>
      </w:r>
      <w:r w:rsidRPr="00AE7BC3">
        <w:rPr>
          <w:rFonts w:cs="Times New Roman"/>
          <w:sz w:val="20"/>
          <w:szCs w:val="20"/>
          <w:lang w:val="tr"/>
        </w:rPr>
        <w:t xml:space="preserve"> Samet Saygı, Anayasa ve İnsan Hakları Hukuku Açısından Olağanüstü Tedbirler Kamu Görevinden Çıkarılma, Doktora tezi. </w:t>
      </w:r>
      <w:r w:rsidRPr="008E7653">
        <w:rPr>
          <w:rFonts w:cs="Times New Roman"/>
          <w:sz w:val="20"/>
          <w:szCs w:val="20"/>
        </w:rPr>
        <w:t>2025, s. 182-213.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95857"/>
    <w:multiLevelType w:val="hybridMultilevel"/>
    <w:tmpl w:val="926CC296"/>
    <w:lvl w:ilvl="0" w:tplc="77BCE414">
      <w:start w:val="1"/>
      <w:numFmt w:val="decimal"/>
      <w:lvlText w:val="%1."/>
      <w:lvlJc w:val="left"/>
      <w:pPr>
        <w:ind w:left="720" w:hanging="360"/>
      </w:pPr>
      <w:rPr>
        <w:b/>
        <w:bCs/>
        <w:color w:val="auto"/>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524903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1C"/>
    <w:rsid w:val="00004D4A"/>
    <w:rsid w:val="00063EED"/>
    <w:rsid w:val="000E0960"/>
    <w:rsid w:val="0014166C"/>
    <w:rsid w:val="00156FC5"/>
    <w:rsid w:val="001777BB"/>
    <w:rsid w:val="001C5BC8"/>
    <w:rsid w:val="001E312B"/>
    <w:rsid w:val="001E555F"/>
    <w:rsid w:val="002330A4"/>
    <w:rsid w:val="002416B7"/>
    <w:rsid w:val="00245360"/>
    <w:rsid w:val="002A15C4"/>
    <w:rsid w:val="0033659D"/>
    <w:rsid w:val="00361BB5"/>
    <w:rsid w:val="003652F3"/>
    <w:rsid w:val="003B20C3"/>
    <w:rsid w:val="003F021E"/>
    <w:rsid w:val="004130E0"/>
    <w:rsid w:val="0047221A"/>
    <w:rsid w:val="00487080"/>
    <w:rsid w:val="00492203"/>
    <w:rsid w:val="00495ADF"/>
    <w:rsid w:val="004A2953"/>
    <w:rsid w:val="00547922"/>
    <w:rsid w:val="0056671C"/>
    <w:rsid w:val="005B3D9A"/>
    <w:rsid w:val="005C13BD"/>
    <w:rsid w:val="005C192B"/>
    <w:rsid w:val="00645BAB"/>
    <w:rsid w:val="0065359F"/>
    <w:rsid w:val="006C3D67"/>
    <w:rsid w:val="006D40B2"/>
    <w:rsid w:val="006F087E"/>
    <w:rsid w:val="0071332C"/>
    <w:rsid w:val="007340F2"/>
    <w:rsid w:val="00780A6D"/>
    <w:rsid w:val="00787647"/>
    <w:rsid w:val="007B3B45"/>
    <w:rsid w:val="007C6767"/>
    <w:rsid w:val="007D3DD8"/>
    <w:rsid w:val="007D4D2D"/>
    <w:rsid w:val="007E5186"/>
    <w:rsid w:val="008A0322"/>
    <w:rsid w:val="008F35C6"/>
    <w:rsid w:val="008F5ADF"/>
    <w:rsid w:val="00946642"/>
    <w:rsid w:val="009E55EE"/>
    <w:rsid w:val="009F60F1"/>
    <w:rsid w:val="00A433CD"/>
    <w:rsid w:val="00AB481C"/>
    <w:rsid w:val="00AC31BB"/>
    <w:rsid w:val="00AC4DE1"/>
    <w:rsid w:val="00AE7BC3"/>
    <w:rsid w:val="00B2101D"/>
    <w:rsid w:val="00B37482"/>
    <w:rsid w:val="00BE38AD"/>
    <w:rsid w:val="00C21726"/>
    <w:rsid w:val="00CE1E7C"/>
    <w:rsid w:val="00CF1414"/>
    <w:rsid w:val="00D060C8"/>
    <w:rsid w:val="00D37C80"/>
    <w:rsid w:val="00D42426"/>
    <w:rsid w:val="00D6659C"/>
    <w:rsid w:val="00D72DF0"/>
    <w:rsid w:val="00DE48B0"/>
    <w:rsid w:val="00DF405B"/>
    <w:rsid w:val="00E12B07"/>
    <w:rsid w:val="00E80519"/>
    <w:rsid w:val="00EA4F51"/>
    <w:rsid w:val="00F10ECA"/>
    <w:rsid w:val="00F15B9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A438"/>
  <w15:chartTrackingRefBased/>
  <w15:docId w15:val="{26D200AD-28EF-4AC7-8DC9-5069DE308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05B"/>
    <w:pPr>
      <w:spacing w:before="120" w:after="120"/>
      <w:jc w:val="both"/>
    </w:pPr>
    <w:rPr>
      <w:rFonts w:ascii="Times New Roman" w:hAnsi="Times New Roman"/>
      <w:sz w:val="24"/>
      <w:lang w:val="en-US"/>
    </w:rPr>
  </w:style>
  <w:style w:type="paragraph" w:styleId="Heading1">
    <w:name w:val="heading 1"/>
    <w:basedOn w:val="Normal"/>
    <w:next w:val="Normal"/>
    <w:link w:val="Heading1Char"/>
    <w:autoRedefine/>
    <w:uiPriority w:val="9"/>
    <w:qFormat/>
    <w:rsid w:val="00CF1414"/>
    <w:pPr>
      <w:keepNext/>
      <w:keepLines/>
      <w:spacing w:before="240"/>
      <w:outlineLvl w:val="0"/>
    </w:pPr>
    <w:rPr>
      <w:rFonts w:eastAsiaTheme="majorEastAsia" w:cs="Arial"/>
      <w:b/>
      <w:lang w:val="tr-TR"/>
    </w:rPr>
  </w:style>
  <w:style w:type="paragraph" w:styleId="Heading2">
    <w:name w:val="heading 2"/>
    <w:basedOn w:val="Normal"/>
    <w:next w:val="Normal"/>
    <w:link w:val="Heading2Char"/>
    <w:autoRedefine/>
    <w:uiPriority w:val="9"/>
    <w:unhideWhenUsed/>
    <w:qFormat/>
    <w:rsid w:val="005C192B"/>
    <w:pPr>
      <w:keepNext/>
      <w:keepLines/>
      <w:outlineLvl w:val="1"/>
    </w:pPr>
    <w:rPr>
      <w:rFonts w:eastAsiaTheme="majorEastAsia" w:cstheme="majorBidi"/>
      <w:b/>
      <w:szCs w:val="26"/>
      <w:lang w:val="tr-TR"/>
    </w:rPr>
  </w:style>
  <w:style w:type="paragraph" w:styleId="Heading3">
    <w:name w:val="heading 3"/>
    <w:basedOn w:val="Normal"/>
    <w:next w:val="Normal"/>
    <w:link w:val="Heading3Char"/>
    <w:uiPriority w:val="9"/>
    <w:unhideWhenUsed/>
    <w:qFormat/>
    <w:rsid w:val="000E0960"/>
    <w:pPr>
      <w:keepNext/>
      <w:keepLines/>
      <w:spacing w:before="160" w:after="80"/>
      <w:outlineLvl w:val="2"/>
    </w:pPr>
    <w:rPr>
      <w:rFonts w:eastAsiaTheme="majorEastAsia" w:cstheme="majorBidi"/>
      <w:b/>
      <w:color w:val="215E99" w:themeColor="text2" w:themeTint="BF"/>
      <w:szCs w:val="28"/>
    </w:rPr>
  </w:style>
  <w:style w:type="paragraph" w:styleId="Heading4">
    <w:name w:val="heading 4"/>
    <w:basedOn w:val="Normal"/>
    <w:next w:val="Normal"/>
    <w:link w:val="Heading4Char"/>
    <w:uiPriority w:val="9"/>
    <w:semiHidden/>
    <w:unhideWhenUsed/>
    <w:qFormat/>
    <w:rsid w:val="00AB481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B481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B481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B481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B481C"/>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B481C"/>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192B"/>
    <w:rPr>
      <w:rFonts w:ascii="Times New Roman" w:eastAsiaTheme="majorEastAsia" w:hAnsi="Times New Roman" w:cstheme="majorBidi"/>
      <w:b/>
      <w:sz w:val="24"/>
      <w:szCs w:val="26"/>
      <w:lang w:val="tr-TR"/>
    </w:rPr>
  </w:style>
  <w:style w:type="character" w:customStyle="1" w:styleId="Heading3Char">
    <w:name w:val="Heading 3 Char"/>
    <w:basedOn w:val="DefaultParagraphFont"/>
    <w:link w:val="Heading3"/>
    <w:uiPriority w:val="9"/>
    <w:rsid w:val="000E0960"/>
    <w:rPr>
      <w:rFonts w:eastAsiaTheme="majorEastAsia" w:cstheme="majorBidi"/>
      <w:b/>
      <w:color w:val="215E99" w:themeColor="text2" w:themeTint="BF"/>
      <w:sz w:val="24"/>
      <w:szCs w:val="28"/>
    </w:rPr>
  </w:style>
  <w:style w:type="character" w:customStyle="1" w:styleId="Heading1Char">
    <w:name w:val="Heading 1 Char"/>
    <w:basedOn w:val="DefaultParagraphFont"/>
    <w:link w:val="Heading1"/>
    <w:uiPriority w:val="9"/>
    <w:rsid w:val="00CF1414"/>
    <w:rPr>
      <w:rFonts w:ascii="Times New Roman" w:eastAsiaTheme="majorEastAsia" w:hAnsi="Times New Roman" w:cs="Arial"/>
      <w:b/>
      <w:sz w:val="24"/>
      <w:lang w:val="tr-TR"/>
    </w:rPr>
  </w:style>
  <w:style w:type="character" w:customStyle="1" w:styleId="Heading4Char">
    <w:name w:val="Heading 4 Char"/>
    <w:basedOn w:val="DefaultParagraphFont"/>
    <w:link w:val="Heading4"/>
    <w:uiPriority w:val="9"/>
    <w:semiHidden/>
    <w:rsid w:val="00AB481C"/>
    <w:rPr>
      <w:rFonts w:eastAsiaTheme="majorEastAsia" w:cstheme="majorBidi"/>
      <w:i/>
      <w:iCs/>
      <w:color w:val="0F4761" w:themeColor="accent1" w:themeShade="BF"/>
      <w:sz w:val="24"/>
      <w:lang w:val="en-US"/>
    </w:rPr>
  </w:style>
  <w:style w:type="character" w:customStyle="1" w:styleId="Heading5Char">
    <w:name w:val="Heading 5 Char"/>
    <w:basedOn w:val="DefaultParagraphFont"/>
    <w:link w:val="Heading5"/>
    <w:uiPriority w:val="9"/>
    <w:semiHidden/>
    <w:rsid w:val="00AB481C"/>
    <w:rPr>
      <w:rFonts w:eastAsiaTheme="majorEastAsia" w:cstheme="majorBidi"/>
      <w:color w:val="0F4761" w:themeColor="accent1" w:themeShade="BF"/>
      <w:sz w:val="24"/>
      <w:lang w:val="en-US"/>
    </w:rPr>
  </w:style>
  <w:style w:type="character" w:customStyle="1" w:styleId="Heading6Char">
    <w:name w:val="Heading 6 Char"/>
    <w:basedOn w:val="DefaultParagraphFont"/>
    <w:link w:val="Heading6"/>
    <w:uiPriority w:val="9"/>
    <w:semiHidden/>
    <w:rsid w:val="00AB481C"/>
    <w:rPr>
      <w:rFonts w:eastAsiaTheme="majorEastAsia" w:cstheme="majorBidi"/>
      <w:i/>
      <w:iCs/>
      <w:color w:val="595959" w:themeColor="text1" w:themeTint="A6"/>
      <w:sz w:val="24"/>
      <w:lang w:val="en-US"/>
    </w:rPr>
  </w:style>
  <w:style w:type="character" w:customStyle="1" w:styleId="Heading7Char">
    <w:name w:val="Heading 7 Char"/>
    <w:basedOn w:val="DefaultParagraphFont"/>
    <w:link w:val="Heading7"/>
    <w:uiPriority w:val="9"/>
    <w:semiHidden/>
    <w:rsid w:val="00AB481C"/>
    <w:rPr>
      <w:rFonts w:eastAsiaTheme="majorEastAsia" w:cstheme="majorBidi"/>
      <w:color w:val="595959" w:themeColor="text1" w:themeTint="A6"/>
      <w:sz w:val="24"/>
      <w:lang w:val="en-US"/>
    </w:rPr>
  </w:style>
  <w:style w:type="character" w:customStyle="1" w:styleId="Heading8Char">
    <w:name w:val="Heading 8 Char"/>
    <w:basedOn w:val="DefaultParagraphFont"/>
    <w:link w:val="Heading8"/>
    <w:uiPriority w:val="9"/>
    <w:semiHidden/>
    <w:rsid w:val="00AB481C"/>
    <w:rPr>
      <w:rFonts w:eastAsiaTheme="majorEastAsia" w:cstheme="majorBidi"/>
      <w:i/>
      <w:iCs/>
      <w:color w:val="272727" w:themeColor="text1" w:themeTint="D8"/>
      <w:sz w:val="24"/>
      <w:lang w:val="en-US"/>
    </w:rPr>
  </w:style>
  <w:style w:type="character" w:customStyle="1" w:styleId="Heading9Char">
    <w:name w:val="Heading 9 Char"/>
    <w:basedOn w:val="DefaultParagraphFont"/>
    <w:link w:val="Heading9"/>
    <w:uiPriority w:val="9"/>
    <w:semiHidden/>
    <w:rsid w:val="00AB481C"/>
    <w:rPr>
      <w:rFonts w:eastAsiaTheme="majorEastAsia" w:cstheme="majorBidi"/>
      <w:color w:val="272727" w:themeColor="text1" w:themeTint="D8"/>
      <w:sz w:val="24"/>
      <w:lang w:val="en-US"/>
    </w:rPr>
  </w:style>
  <w:style w:type="paragraph" w:styleId="Title">
    <w:name w:val="Title"/>
    <w:basedOn w:val="Normal"/>
    <w:next w:val="Normal"/>
    <w:link w:val="TitleChar"/>
    <w:uiPriority w:val="10"/>
    <w:qFormat/>
    <w:rsid w:val="00AB481C"/>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81C"/>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AB481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81C"/>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AB48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B481C"/>
    <w:rPr>
      <w:rFonts w:ascii="Times New Roman" w:hAnsi="Times New Roman"/>
      <w:i/>
      <w:iCs/>
      <w:color w:val="404040" w:themeColor="text1" w:themeTint="BF"/>
      <w:sz w:val="24"/>
      <w:lang w:val="en-US"/>
    </w:rPr>
  </w:style>
  <w:style w:type="paragraph" w:styleId="ListParagraph">
    <w:name w:val="List Paragraph"/>
    <w:basedOn w:val="Normal"/>
    <w:uiPriority w:val="34"/>
    <w:qFormat/>
    <w:rsid w:val="00AB481C"/>
    <w:pPr>
      <w:ind w:left="720"/>
      <w:contextualSpacing/>
    </w:pPr>
  </w:style>
  <w:style w:type="character" w:styleId="IntenseEmphasis">
    <w:name w:val="Intense Emphasis"/>
    <w:basedOn w:val="DefaultParagraphFont"/>
    <w:uiPriority w:val="21"/>
    <w:qFormat/>
    <w:rsid w:val="00AB481C"/>
    <w:rPr>
      <w:i/>
      <w:iCs/>
      <w:color w:val="0F4761" w:themeColor="accent1" w:themeShade="BF"/>
    </w:rPr>
  </w:style>
  <w:style w:type="paragraph" w:styleId="IntenseQuote">
    <w:name w:val="Intense Quote"/>
    <w:basedOn w:val="Normal"/>
    <w:next w:val="Normal"/>
    <w:link w:val="IntenseQuoteChar"/>
    <w:uiPriority w:val="30"/>
    <w:qFormat/>
    <w:rsid w:val="00AB4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481C"/>
    <w:rPr>
      <w:rFonts w:ascii="Times New Roman" w:hAnsi="Times New Roman"/>
      <w:i/>
      <w:iCs/>
      <w:color w:val="0F4761" w:themeColor="accent1" w:themeShade="BF"/>
      <w:sz w:val="24"/>
      <w:lang w:val="en-US"/>
    </w:rPr>
  </w:style>
  <w:style w:type="character" w:styleId="IntenseReference">
    <w:name w:val="Intense Reference"/>
    <w:basedOn w:val="DefaultParagraphFont"/>
    <w:uiPriority w:val="32"/>
    <w:qFormat/>
    <w:rsid w:val="00AB481C"/>
    <w:rPr>
      <w:b/>
      <w:bCs/>
      <w:smallCaps/>
      <w:color w:val="0F4761" w:themeColor="accent1" w:themeShade="BF"/>
      <w:spacing w:val="5"/>
    </w:rPr>
  </w:style>
  <w:style w:type="paragraph" w:styleId="CommentText">
    <w:name w:val="annotation text"/>
    <w:basedOn w:val="Normal"/>
    <w:link w:val="CommentTextChar"/>
    <w:uiPriority w:val="99"/>
    <w:unhideWhenUsed/>
    <w:rsid w:val="0047221A"/>
    <w:pPr>
      <w:spacing w:before="0" w:after="160" w:line="240" w:lineRule="auto"/>
      <w:jc w:val="left"/>
    </w:pPr>
    <w:rPr>
      <w:rFonts w:ascii="Aptos" w:eastAsia="Aptos" w:hAnsi="Aptos" w:cs="Aptos"/>
      <w:kern w:val="0"/>
      <w:sz w:val="20"/>
      <w:szCs w:val="20"/>
      <w:lang w:val="tr" w:eastAsia="fr-CH"/>
      <w14:ligatures w14:val="none"/>
    </w:rPr>
  </w:style>
  <w:style w:type="character" w:customStyle="1" w:styleId="CommentTextChar">
    <w:name w:val="Comment Text Char"/>
    <w:basedOn w:val="DefaultParagraphFont"/>
    <w:link w:val="CommentText"/>
    <w:uiPriority w:val="99"/>
    <w:rsid w:val="0047221A"/>
    <w:rPr>
      <w:rFonts w:ascii="Aptos" w:eastAsia="Aptos" w:hAnsi="Aptos" w:cs="Aptos"/>
      <w:kern w:val="0"/>
      <w:sz w:val="20"/>
      <w:szCs w:val="20"/>
      <w:lang w:val="tr" w:eastAsia="fr-CH"/>
      <w14:ligatures w14:val="none"/>
    </w:rPr>
  </w:style>
  <w:style w:type="character" w:styleId="CommentReference">
    <w:name w:val="annotation reference"/>
    <w:basedOn w:val="DefaultParagraphFont"/>
    <w:uiPriority w:val="99"/>
    <w:semiHidden/>
    <w:unhideWhenUsed/>
    <w:rsid w:val="0047221A"/>
    <w:rPr>
      <w:sz w:val="16"/>
      <w:szCs w:val="16"/>
    </w:rPr>
  </w:style>
  <w:style w:type="character" w:styleId="Hyperlink">
    <w:name w:val="Hyperlink"/>
    <w:basedOn w:val="DefaultParagraphFont"/>
    <w:uiPriority w:val="99"/>
    <w:unhideWhenUsed/>
    <w:rsid w:val="0047221A"/>
    <w:rPr>
      <w:color w:val="0000FF"/>
      <w:u w:val="single"/>
    </w:rPr>
  </w:style>
  <w:style w:type="paragraph" w:styleId="FootnoteText">
    <w:name w:val="footnote text"/>
    <w:aliases w:val="Dipnot Metni Char Char Char Char,Dipnot Metni Char Char Char"/>
    <w:basedOn w:val="Normal"/>
    <w:link w:val="FootnoteTextChar"/>
    <w:uiPriority w:val="99"/>
    <w:unhideWhenUsed/>
    <w:rsid w:val="0047221A"/>
    <w:pPr>
      <w:spacing w:before="0" w:after="0" w:line="240" w:lineRule="auto"/>
      <w:jc w:val="left"/>
    </w:pPr>
    <w:rPr>
      <w:rFonts w:ascii="Aptos" w:eastAsia="Aptos" w:hAnsi="Aptos" w:cs="Aptos"/>
      <w:kern w:val="0"/>
      <w:sz w:val="20"/>
      <w:szCs w:val="20"/>
      <w:lang w:val="tr" w:eastAsia="fr-CH"/>
      <w14:ligatures w14:val="none"/>
    </w:rPr>
  </w:style>
  <w:style w:type="character" w:customStyle="1" w:styleId="FootnoteTextChar">
    <w:name w:val="Footnote Text Char"/>
    <w:aliases w:val="Dipnot Metni Char Char Char Char Char,Dipnot Metni Char Char Char Char1"/>
    <w:basedOn w:val="DefaultParagraphFont"/>
    <w:link w:val="FootnoteText"/>
    <w:uiPriority w:val="99"/>
    <w:rsid w:val="0047221A"/>
    <w:rPr>
      <w:rFonts w:ascii="Aptos" w:eastAsia="Aptos" w:hAnsi="Aptos" w:cs="Aptos"/>
      <w:kern w:val="0"/>
      <w:sz w:val="20"/>
      <w:szCs w:val="20"/>
      <w:lang w:val="tr" w:eastAsia="fr-CH"/>
      <w14:ligatures w14:val="none"/>
    </w:rPr>
  </w:style>
  <w:style w:type="character" w:styleId="FootnoteReference">
    <w:name w:val="footnote reference"/>
    <w:basedOn w:val="DefaultParagraphFont"/>
    <w:uiPriority w:val="99"/>
    <w:unhideWhenUsed/>
    <w:qFormat/>
    <w:rsid w:val="0047221A"/>
    <w:rPr>
      <w:vertAlign w:val="superscript"/>
    </w:rPr>
  </w:style>
  <w:style w:type="paragraph" w:styleId="Header">
    <w:name w:val="header"/>
    <w:basedOn w:val="Normal"/>
    <w:link w:val="HeaderChar"/>
    <w:uiPriority w:val="99"/>
    <w:unhideWhenUsed/>
    <w:rsid w:val="0047221A"/>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47221A"/>
    <w:rPr>
      <w:rFonts w:ascii="Times New Roman" w:hAnsi="Times New Roman"/>
      <w:sz w:val="24"/>
      <w:lang w:val="en-US"/>
    </w:rPr>
  </w:style>
  <w:style w:type="paragraph" w:styleId="Footer">
    <w:name w:val="footer"/>
    <w:basedOn w:val="Normal"/>
    <w:link w:val="FooterChar"/>
    <w:uiPriority w:val="99"/>
    <w:unhideWhenUsed/>
    <w:rsid w:val="0047221A"/>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47221A"/>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aa.com.tr/tr/turkiye/feto-ile-mucadele-edenler-yuksek-yargic-oldu-/1205829" TargetMode="External"/><Relationship Id="rId13" Type="http://schemas.openxmlformats.org/officeDocument/2006/relationships/hyperlink" Target="https://www.dha.com.tr/gundem/ybd-baskani-heybet-hsk-bu-yapiyla-mucadelesini-surduruyor-1574311" TargetMode="External"/><Relationship Id="rId3" Type="http://schemas.openxmlformats.org/officeDocument/2006/relationships/hyperlink" Target="https://www.venice.coe.int/webforms/documents/default.aspx?pdffile=CDL-AD(2017)005-e" TargetMode="External"/><Relationship Id="rId7" Type="http://schemas.openxmlformats.org/officeDocument/2006/relationships/hyperlink" Target="https://www.venice.coe.int/webforms/documents/default.aspx?pdffile=CDL-AD(2024)041-e" TargetMode="External"/><Relationship Id="rId12" Type="http://schemas.openxmlformats.org/officeDocument/2006/relationships/hyperlink" Target="https://www.aa.com.tr/tr/15-temmuz-darbe-girisimi/magduriyet-algisi-ihanetin-perdelenmesi-icin-ozel-calismadir/908987" TargetMode="External"/><Relationship Id="rId2" Type="http://schemas.openxmlformats.org/officeDocument/2006/relationships/hyperlink" Target="https://www.icj.org/wp-content/uploads/2016/07/Turkey-Judiciary-in-Peril-Publications-Reports-Fact-Findings-Mission-Reports-2016-ENG.pdf" TargetMode="External"/><Relationship Id="rId16" Type="http://schemas.openxmlformats.org/officeDocument/2006/relationships/hyperlink" Target="https://justicesquare.org/wp-content/uploads/2025/10/ANAYASA-MAHKEMESININ-GUNCEL-YARGILAMALAR-KAPSAMINDA-YAPILAN-BASVURULARDA-TARAFSIZLIK-BAGIMSIZLIK-VE-ETKILILIK-SORUNSALI.pdf" TargetMode="External"/><Relationship Id="rId1" Type="http://schemas.openxmlformats.org/officeDocument/2006/relationships/hyperlink" Target="http://www.ab.gov.tr/files/5%20Ekim/son__2016_ilerleme_raporu_tr.pdf" TargetMode="External"/><Relationship Id="rId6" Type="http://schemas.openxmlformats.org/officeDocument/2006/relationships/hyperlink" Target="https://images.transparencycdn.org/images/2020_Report_ExaminingStateCapture_English.pdf" TargetMode="External"/><Relationship Id="rId11" Type="http://schemas.openxmlformats.org/officeDocument/2006/relationships/hyperlink" Target="https://www.haberler.com/guncel/yargida-birlik-dernegi-baskani-heybet-aciklamasi-9730775-haberi/" TargetMode="External"/><Relationship Id="rId5" Type="http://schemas.openxmlformats.org/officeDocument/2006/relationships/hyperlink" Target="https://rm.coe.int/report-on-the-visit-to-turkey-by-dunja-mijatovic-council-of-europe-com/168099823e" TargetMode="External"/><Relationship Id="rId15" Type="http://schemas.openxmlformats.org/officeDocument/2006/relationships/hyperlink" Target="https://www.sabah.com.tr/gundem/2024/02/15/son-dakika-danistay-fetoden-ihrac-edilen-hakim-ve-savcilari-goreve-iade-etmisti-baskan-erdogandan-sert-tepki-sessiz-kalamayiz?paging=2" TargetMode="External"/><Relationship Id="rId10" Type="http://schemas.openxmlformats.org/officeDocument/2006/relationships/hyperlink" Target="https://www.haberler.com/feto-nun-yargi-icerisindeki-gucu-2014-te-kirildi-9748531-haberi/" TargetMode="External"/><Relationship Id="rId4" Type="http://schemas.openxmlformats.org/officeDocument/2006/relationships/hyperlink" Target="https://www.icj.org/wp-content/uploads/2018/12/Turkey-Access-to-justice-Publications-Reports-2018-TUR.pdf?utm" TargetMode="External"/><Relationship Id="rId9" Type="http://schemas.openxmlformats.org/officeDocument/2006/relationships/hyperlink" Target="https://www.denizlimuhabir.com/denizlim-danistay-uyesi-yunus-aykin-i-konuk-etti/3155" TargetMode="External"/><Relationship Id="rId14" Type="http://schemas.openxmlformats.org/officeDocument/2006/relationships/hyperlink" Target="https://www.sabah.com.tr/gundem/2024/02/12/450-hakim-savci-krizi"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5EC3C-4952-449E-AB7C-359995FF7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20</Pages>
  <Words>5592</Words>
  <Characters>40265</Characters>
  <DocSecurity>0</DocSecurity>
  <Lines>619</Lines>
  <Paragraphs>81</Paragraphs>
  <ScaleCrop>false</ScaleCrop>
  <Company/>
  <LinksUpToDate>false</LinksUpToDate>
  <CharactersWithSpaces>45776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2025-10-02T13:34:00Z</cp:lastPrinted>
  <dcterms:created xsi:type="dcterms:W3CDTF">2025-10-01T12:00:00Z</dcterms:created>
  <dcterms:modified xsi:type="dcterms:W3CDTF">2025-12-18T09:43:00Z</dcterms:modified>
</cp:coreProperties>
</file>